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2" w:rsidRPr="00273EBB" w:rsidRDefault="00CA717E" w:rsidP="006D249C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EBB">
        <w:rPr>
          <w:rFonts w:ascii="Times New Roman" w:hAnsi="Times New Roman" w:cs="Times New Roman"/>
          <w:b/>
          <w:sz w:val="24"/>
          <w:szCs w:val="24"/>
        </w:rPr>
        <w:t>Compilation of Experimental Nuclear Reaction Data Measured in Central Asia</w:t>
      </w:r>
    </w:p>
    <w:p w:rsidR="00CA717E" w:rsidRPr="00CA717E" w:rsidRDefault="00CA717E" w:rsidP="006D249C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CA717E">
        <w:rPr>
          <w:rFonts w:ascii="Times New Roman" w:hAnsi="Times New Roman" w:cs="Times New Roman"/>
          <w:sz w:val="24"/>
          <w:szCs w:val="24"/>
        </w:rPr>
        <w:t>N. Otuka</w:t>
      </w:r>
      <w:r w:rsidRPr="00CA71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717E">
        <w:rPr>
          <w:rFonts w:ascii="Times New Roman" w:hAnsi="Times New Roman" w:cs="Times New Roman"/>
          <w:sz w:val="24"/>
          <w:szCs w:val="24"/>
        </w:rPr>
        <w:t xml:space="preserve">, </w:t>
      </w:r>
      <w:r w:rsidR="00396100">
        <w:rPr>
          <w:rFonts w:ascii="Times New Roman" w:hAnsi="Times New Roman" w:cs="Times New Roman" w:hint="eastAsia"/>
          <w:sz w:val="24"/>
          <w:szCs w:val="24"/>
        </w:rPr>
        <w:t>V. Semkova</w:t>
      </w:r>
      <w:r w:rsidR="00396100" w:rsidRPr="00396100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="00396100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CA717E">
        <w:rPr>
          <w:rFonts w:ascii="Times New Roman" w:hAnsi="Times New Roman" w:cs="Times New Roman"/>
          <w:sz w:val="24"/>
          <w:szCs w:val="24"/>
        </w:rPr>
        <w:t>N. Kenzhebayev</w:t>
      </w:r>
      <w:r w:rsidR="00EA7210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CA717E">
        <w:rPr>
          <w:rFonts w:ascii="Times New Roman" w:hAnsi="Times New Roman" w:cs="Times New Roman"/>
          <w:sz w:val="24"/>
          <w:szCs w:val="24"/>
        </w:rPr>
        <w:t xml:space="preserve">, </w:t>
      </w:r>
      <w:r w:rsidR="00EA7210">
        <w:rPr>
          <w:rFonts w:ascii="Times New Roman" w:hAnsi="Times New Roman" w:cs="Times New Roman"/>
          <w:sz w:val="24"/>
          <w:szCs w:val="24"/>
        </w:rPr>
        <w:t>F</w:t>
      </w:r>
      <w:r w:rsidR="00EA7210">
        <w:rPr>
          <w:rFonts w:ascii="Times New Roman" w:hAnsi="Times New Roman" w:cs="Times New Roman" w:hint="eastAsia"/>
          <w:sz w:val="24"/>
          <w:szCs w:val="24"/>
        </w:rPr>
        <w:t>.</w:t>
      </w:r>
      <w:r w:rsidR="00EA7210">
        <w:rPr>
          <w:rFonts w:ascii="Times New Roman" w:hAnsi="Times New Roman" w:cs="Times New Roman"/>
          <w:sz w:val="24"/>
          <w:szCs w:val="24"/>
        </w:rPr>
        <w:t xml:space="preserve"> </w:t>
      </w:r>
      <w:r w:rsidR="00EA7210" w:rsidRPr="00D61BF8">
        <w:rPr>
          <w:rFonts w:ascii="Times New Roman" w:hAnsi="Times New Roman" w:cs="Times New Roman"/>
          <w:sz w:val="24"/>
          <w:szCs w:val="24"/>
        </w:rPr>
        <w:t>Ergashev</w:t>
      </w:r>
      <w:r w:rsidR="00EA7210"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CA717E">
        <w:rPr>
          <w:rFonts w:ascii="Times New Roman" w:hAnsi="Times New Roman" w:cs="Times New Roman"/>
          <w:sz w:val="24"/>
          <w:szCs w:val="24"/>
        </w:rPr>
        <w:t>V. Kurmangalieva</w:t>
      </w:r>
      <w:r w:rsidR="00EA7210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proofErr w:type="gramStart"/>
      <w:r w:rsidR="002F35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D249C">
        <w:rPr>
          <w:rFonts w:ascii="Times New Roman" w:hAnsi="Times New Roman" w:cs="Times New Roman"/>
          <w:sz w:val="24"/>
          <w:szCs w:val="24"/>
        </w:rPr>
        <w:br/>
      </w:r>
      <w:r w:rsidRPr="00CA717E">
        <w:rPr>
          <w:rFonts w:ascii="Times New Roman" w:hAnsi="Times New Roman" w:cs="Times New Roman"/>
          <w:sz w:val="24"/>
          <w:szCs w:val="24"/>
        </w:rPr>
        <w:t>M. Nusipalyeva</w:t>
      </w:r>
      <w:r w:rsidR="00EA7210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CA717E">
        <w:rPr>
          <w:rFonts w:ascii="Times New Roman" w:hAnsi="Times New Roman" w:cs="Times New Roman"/>
          <w:sz w:val="24"/>
          <w:szCs w:val="24"/>
        </w:rPr>
        <w:t>, M. Takybayeva</w:t>
      </w:r>
      <w:r w:rsidR="00EA7210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</w:p>
    <w:p w:rsidR="00EA7210" w:rsidRPr="00273EBB" w:rsidRDefault="00CA717E" w:rsidP="006D249C">
      <w:pPr>
        <w:spacing w:before="120" w:after="120"/>
        <w:jc w:val="center"/>
        <w:rPr>
          <w:rFonts w:ascii="Times New Roman" w:hAnsi="Times New Roman" w:cs="Times New Roman"/>
          <w:sz w:val="22"/>
        </w:rPr>
      </w:pPr>
      <w:r w:rsidRPr="00273EBB">
        <w:rPr>
          <w:rFonts w:ascii="Times New Roman" w:hAnsi="Times New Roman" w:cs="Times New Roman" w:hint="eastAsia"/>
          <w:sz w:val="22"/>
          <w:vertAlign w:val="superscript"/>
        </w:rPr>
        <w:t>1</w:t>
      </w:r>
      <w:r w:rsidRPr="00273EBB">
        <w:rPr>
          <w:rFonts w:ascii="Times New Roman" w:hAnsi="Times New Roman" w:cs="Times New Roman" w:hint="eastAsia"/>
          <w:i/>
          <w:sz w:val="22"/>
        </w:rPr>
        <w:t xml:space="preserve">Nuclear Data Section, International Atomic Energy Agency, </w:t>
      </w:r>
      <w:r w:rsidR="005D7AAA" w:rsidRPr="00273EBB">
        <w:rPr>
          <w:rFonts w:ascii="Times New Roman" w:hAnsi="Times New Roman" w:cs="Times New Roman" w:hint="eastAsia"/>
          <w:i/>
          <w:sz w:val="22"/>
        </w:rPr>
        <w:t xml:space="preserve">A-1400 </w:t>
      </w:r>
      <w:r w:rsidRPr="00273EBB">
        <w:rPr>
          <w:rFonts w:ascii="Times New Roman" w:hAnsi="Times New Roman" w:cs="Times New Roman" w:hint="eastAsia"/>
          <w:i/>
          <w:sz w:val="22"/>
        </w:rPr>
        <w:t>Vienna, Austria</w:t>
      </w:r>
      <w:r w:rsidR="006D249C">
        <w:rPr>
          <w:rFonts w:ascii="Times New Roman" w:hAnsi="Times New Roman" w:cs="Times New Roman"/>
          <w:i/>
          <w:sz w:val="22"/>
        </w:rPr>
        <w:br/>
      </w:r>
      <w:r w:rsidR="00EA7210" w:rsidRPr="00273EBB">
        <w:rPr>
          <w:rFonts w:ascii="Times New Roman" w:hAnsi="Times New Roman" w:cs="Times New Roman" w:hint="eastAsia"/>
          <w:sz w:val="22"/>
          <w:vertAlign w:val="superscript"/>
        </w:rPr>
        <w:t>2</w:t>
      </w:r>
      <w:r w:rsidRPr="00273EBB">
        <w:rPr>
          <w:rFonts w:ascii="Times New Roman" w:hAnsi="Times New Roman" w:cs="Times New Roman"/>
          <w:i/>
          <w:sz w:val="22"/>
        </w:rPr>
        <w:t>Institute of Experimental and Theoretical Physics,</w:t>
      </w:r>
      <w:r w:rsidRPr="00273EBB">
        <w:rPr>
          <w:rFonts w:ascii="Times New Roman" w:hAnsi="Times New Roman" w:cs="Times New Roman" w:hint="eastAsia"/>
          <w:i/>
          <w:sz w:val="22"/>
        </w:rPr>
        <w:t xml:space="preserve"> A</w:t>
      </w:r>
      <w:r w:rsidRPr="00273EBB">
        <w:rPr>
          <w:rFonts w:ascii="Times New Roman" w:hAnsi="Times New Roman" w:cs="Times New Roman"/>
          <w:i/>
          <w:sz w:val="22"/>
        </w:rPr>
        <w:t>l</w:t>
      </w:r>
      <w:r w:rsidRPr="00273EBB">
        <w:rPr>
          <w:rFonts w:ascii="Times New Roman" w:hAnsi="Times New Roman" w:cs="Times New Roman" w:hint="eastAsia"/>
          <w:i/>
          <w:sz w:val="22"/>
        </w:rPr>
        <w:t>-</w:t>
      </w:r>
      <w:proofErr w:type="spellStart"/>
      <w:r w:rsidRPr="00273EBB">
        <w:rPr>
          <w:rFonts w:ascii="Times New Roman" w:hAnsi="Times New Roman" w:cs="Times New Roman"/>
          <w:i/>
          <w:sz w:val="22"/>
        </w:rPr>
        <w:t>Farabi</w:t>
      </w:r>
      <w:proofErr w:type="spellEnd"/>
      <w:r w:rsidRPr="00273EBB">
        <w:rPr>
          <w:rFonts w:ascii="Times New Roman" w:hAnsi="Times New Roman" w:cs="Times New Roman"/>
          <w:i/>
          <w:sz w:val="22"/>
        </w:rPr>
        <w:t xml:space="preserve"> Kazakh National University,</w:t>
      </w:r>
      <w:r w:rsidRPr="00273EBB">
        <w:rPr>
          <w:rFonts w:ascii="Times New Roman" w:hAnsi="Times New Roman" w:cs="Times New Roman" w:hint="eastAsia"/>
          <w:i/>
          <w:sz w:val="22"/>
        </w:rPr>
        <w:t xml:space="preserve"> </w:t>
      </w:r>
      <w:r w:rsidR="005D7AAA" w:rsidRPr="00273EBB">
        <w:rPr>
          <w:rFonts w:ascii="Times New Roman" w:hAnsi="Times New Roman" w:cs="Times New Roman" w:hint="eastAsia"/>
          <w:i/>
          <w:sz w:val="22"/>
        </w:rPr>
        <w:t xml:space="preserve">050060 </w:t>
      </w:r>
      <w:r w:rsidRPr="00273EBB">
        <w:rPr>
          <w:rFonts w:ascii="Times New Roman" w:hAnsi="Times New Roman" w:cs="Times New Roman" w:hint="eastAsia"/>
          <w:i/>
          <w:sz w:val="22"/>
        </w:rPr>
        <w:t>Almaty, Kazakhstan</w:t>
      </w:r>
      <w:r w:rsidR="006D249C">
        <w:rPr>
          <w:rFonts w:ascii="Times New Roman" w:hAnsi="Times New Roman" w:cs="Times New Roman"/>
          <w:i/>
          <w:sz w:val="22"/>
        </w:rPr>
        <w:br/>
      </w:r>
      <w:r w:rsidR="00EA7210" w:rsidRPr="00273EBB">
        <w:rPr>
          <w:rFonts w:ascii="Times New Roman" w:hAnsi="Times New Roman" w:cs="Times New Roman" w:hint="eastAsia"/>
          <w:sz w:val="22"/>
          <w:vertAlign w:val="superscript"/>
        </w:rPr>
        <w:t>3</w:t>
      </w:r>
      <w:r w:rsidR="00EA7210" w:rsidRPr="00273EBB">
        <w:rPr>
          <w:rFonts w:ascii="Times New Roman" w:hAnsi="Times New Roman" w:cs="Times New Roman" w:hint="eastAsia"/>
          <w:i/>
          <w:sz w:val="22"/>
        </w:rPr>
        <w:t>Institute of Nuclear Physics,</w:t>
      </w:r>
      <w:r w:rsidR="005D7AAA" w:rsidRPr="00273EBB">
        <w:rPr>
          <w:rFonts w:ascii="Times New Roman" w:hAnsi="Times New Roman" w:cs="Times New Roman" w:hint="eastAsia"/>
          <w:i/>
          <w:sz w:val="22"/>
        </w:rPr>
        <w:t xml:space="preserve"> Uzbekistan</w:t>
      </w:r>
      <w:r w:rsidR="00EA7210" w:rsidRPr="00273EBB">
        <w:rPr>
          <w:rFonts w:ascii="Times New Roman" w:hAnsi="Times New Roman" w:cs="Times New Roman" w:hint="eastAsia"/>
          <w:i/>
          <w:sz w:val="22"/>
        </w:rPr>
        <w:t xml:space="preserve"> Academy of Sciences, </w:t>
      </w:r>
      <w:r w:rsidR="00E734CC" w:rsidRPr="00273EBB">
        <w:rPr>
          <w:rFonts w:ascii="Times New Roman" w:hAnsi="Times New Roman" w:cs="Times New Roman" w:hint="eastAsia"/>
          <w:i/>
          <w:sz w:val="22"/>
        </w:rPr>
        <w:t xml:space="preserve">702132 </w:t>
      </w:r>
      <w:r w:rsidR="00EA7210" w:rsidRPr="00273EBB">
        <w:rPr>
          <w:rFonts w:ascii="Times New Roman" w:hAnsi="Times New Roman" w:cs="Times New Roman" w:hint="eastAsia"/>
          <w:i/>
          <w:sz w:val="22"/>
        </w:rPr>
        <w:t>Tashkent, Uzbekistan</w:t>
      </w:r>
    </w:p>
    <w:p w:rsidR="00D61BF8" w:rsidRDefault="00D61BF8" w:rsidP="006D249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734CC" w:rsidRDefault="00D61BF8" w:rsidP="006D249C">
      <w:pPr>
        <w:spacing w:before="120" w:after="1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Institutes of Nuclear Physics </w:t>
      </w:r>
      <w:r w:rsidR="00630389">
        <w:rPr>
          <w:rFonts w:ascii="Times New Roman" w:hAnsi="Times New Roman" w:cs="Times New Roman" w:hint="eastAsia"/>
          <w:sz w:val="24"/>
          <w:szCs w:val="24"/>
        </w:rPr>
        <w:t xml:space="preserve">(INP) </w:t>
      </w:r>
      <w:r>
        <w:rPr>
          <w:rFonts w:ascii="Times New Roman" w:hAnsi="Times New Roman" w:cs="Times New Roman" w:hint="eastAsia"/>
          <w:sz w:val="24"/>
          <w:szCs w:val="24"/>
        </w:rPr>
        <w:t xml:space="preserve">in Almaty and Tashkent been active in measurements of </w:t>
      </w:r>
      <w:r w:rsidR="00EA7210">
        <w:rPr>
          <w:rFonts w:ascii="Times New Roman" w:hAnsi="Times New Roman" w:cs="Times New Roman" w:hint="eastAsia"/>
          <w:sz w:val="24"/>
          <w:szCs w:val="24"/>
        </w:rPr>
        <w:t>nuclear reaction dat</w:t>
      </w:r>
      <w:r w:rsidR="00E734CC">
        <w:rPr>
          <w:rFonts w:ascii="Times New Roman" w:hAnsi="Times New Roman" w:cs="Times New Roman" w:hint="eastAsia"/>
          <w:sz w:val="24"/>
          <w:szCs w:val="24"/>
        </w:rPr>
        <w:t>a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630389" w:rsidRPr="00630389">
        <w:rPr>
          <w:rFonts w:ascii="Times New Roman" w:hAnsi="Times New Roman" w:cs="Times New Roman" w:hint="eastAsia"/>
          <w:b/>
          <w:sz w:val="24"/>
          <w:szCs w:val="24"/>
        </w:rPr>
        <w:t>Fig. 1</w:t>
      </w:r>
      <w:r w:rsidR="00EA7210">
        <w:rPr>
          <w:rFonts w:ascii="Times New Roman" w:hAnsi="Times New Roman" w:cs="Times New Roman" w:hint="eastAsia"/>
          <w:sz w:val="24"/>
          <w:szCs w:val="24"/>
        </w:rPr>
        <w:t>).</w:t>
      </w:r>
      <w:r w:rsidR="0063038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0B4607">
        <w:rPr>
          <w:rFonts w:ascii="Times New Roman" w:hAnsi="Times New Roman" w:cs="Times New Roman" w:hint="eastAsia"/>
          <w:sz w:val="24"/>
          <w:szCs w:val="24"/>
        </w:rPr>
        <w:t>charged-particle induced reaction data measured by the cyclotrons of the INP Almaty and Tashkent as well as the neutron-induced reaction data measured at the resear</w:t>
      </w:r>
      <w:r w:rsidR="00A15B5E">
        <w:rPr>
          <w:rFonts w:ascii="Times New Roman" w:hAnsi="Times New Roman" w:cs="Times New Roman" w:hint="eastAsia"/>
          <w:sz w:val="24"/>
          <w:szCs w:val="24"/>
        </w:rPr>
        <w:t>ch reactor of the INP Almaty have been</w:t>
      </w:r>
      <w:r w:rsidR="000B4607">
        <w:rPr>
          <w:rFonts w:ascii="Times New Roman" w:hAnsi="Times New Roman" w:cs="Times New Roman" w:hint="eastAsia"/>
          <w:sz w:val="24"/>
          <w:szCs w:val="24"/>
        </w:rPr>
        <w:t xml:space="preserve"> the major contributors to the current EXFOR </w:t>
      </w:r>
      <w:r w:rsidR="00E734CC">
        <w:rPr>
          <w:rFonts w:ascii="Times New Roman" w:hAnsi="Times New Roman" w:cs="Times New Roman"/>
          <w:sz w:val="24"/>
          <w:szCs w:val="24"/>
        </w:rPr>
        <w:t>library</w:t>
      </w:r>
      <w:r w:rsidR="00E734CC">
        <w:rPr>
          <w:rFonts w:ascii="Times New Roman" w:hAnsi="Times New Roman" w:cs="Times New Roman" w:hint="eastAsia"/>
          <w:sz w:val="24"/>
          <w:szCs w:val="24"/>
        </w:rPr>
        <w:t xml:space="preserve"> from these countries.</w:t>
      </w:r>
      <w:r w:rsidR="0063038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B4607">
        <w:rPr>
          <w:rFonts w:ascii="Times New Roman" w:hAnsi="Times New Roman" w:cs="Times New Roman" w:hint="eastAsia"/>
          <w:sz w:val="24"/>
          <w:szCs w:val="24"/>
        </w:rPr>
        <w:t>The cyclotron</w:t>
      </w:r>
      <w:r w:rsidR="00E734CC">
        <w:rPr>
          <w:rFonts w:ascii="Times New Roman" w:hAnsi="Times New Roman" w:cs="Times New Roman" w:hint="eastAsia"/>
          <w:sz w:val="24"/>
          <w:szCs w:val="24"/>
        </w:rPr>
        <w:t xml:space="preserve"> of the INP Almaty is </w:t>
      </w:r>
      <w:r w:rsidR="000B4607">
        <w:rPr>
          <w:rFonts w:ascii="Times New Roman" w:hAnsi="Times New Roman" w:cs="Times New Roman" w:hint="eastAsia"/>
          <w:sz w:val="24"/>
          <w:szCs w:val="24"/>
        </w:rPr>
        <w:t xml:space="preserve">active, and the cyclotron of the INP Tashkent currently used for isotope production is planned to be back to nuclear reaction experiments </w:t>
      </w:r>
      <w:r w:rsidR="000E3AA8">
        <w:rPr>
          <w:rFonts w:ascii="Times New Roman" w:hAnsi="Times New Roman" w:cs="Times New Roman"/>
          <w:sz w:val="24"/>
          <w:szCs w:val="24"/>
        </w:rPr>
        <w:t xml:space="preserve">in the </w:t>
      </w:r>
      <w:r w:rsidR="000B4607">
        <w:rPr>
          <w:rFonts w:ascii="Times New Roman" w:hAnsi="Times New Roman" w:cs="Times New Roman" w:hint="eastAsia"/>
          <w:sz w:val="24"/>
          <w:szCs w:val="24"/>
        </w:rPr>
        <w:t>near future.</w:t>
      </w:r>
      <w:r w:rsidR="00E40BF7">
        <w:rPr>
          <w:rFonts w:ascii="Times New Roman" w:hAnsi="Times New Roman" w:cs="Times New Roman" w:hint="eastAsia"/>
          <w:sz w:val="24"/>
          <w:szCs w:val="24"/>
        </w:rPr>
        <w:t xml:space="preserve"> All experimental works from these countries and compiled in EXFOR are listed in </w:t>
      </w:r>
      <w:r w:rsidR="00E40BF7" w:rsidRPr="00E40BF7">
        <w:rPr>
          <w:rFonts w:ascii="Times New Roman" w:hAnsi="Times New Roman" w:cs="Times New Roman" w:hint="eastAsia"/>
          <w:b/>
          <w:sz w:val="24"/>
          <w:szCs w:val="24"/>
        </w:rPr>
        <w:t>Appendices 1</w:t>
      </w:r>
      <w:r w:rsidR="00E40BF7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E40BF7" w:rsidRPr="00E40BF7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E40BF7">
        <w:rPr>
          <w:rFonts w:ascii="Times New Roman" w:hAnsi="Times New Roman" w:cs="Times New Roman" w:hint="eastAsia"/>
          <w:sz w:val="24"/>
          <w:szCs w:val="24"/>
        </w:rPr>
        <w:t xml:space="preserve">, and have been </w:t>
      </w:r>
      <w:r w:rsidR="00E40BF7">
        <w:rPr>
          <w:rFonts w:ascii="Times New Roman" w:hAnsi="Times New Roman" w:cs="Times New Roman"/>
          <w:sz w:val="24"/>
          <w:szCs w:val="24"/>
        </w:rPr>
        <w:t>utilized</w:t>
      </w:r>
      <w:r w:rsidR="00E40BF7">
        <w:rPr>
          <w:rFonts w:ascii="Times New Roman" w:hAnsi="Times New Roman" w:cs="Times New Roman" w:hint="eastAsia"/>
          <w:sz w:val="24"/>
          <w:szCs w:val="24"/>
        </w:rPr>
        <w:t xml:space="preserve"> by EXFOR users. For example, proton and alpha induced reaction activation cross sections measured by V.N. </w:t>
      </w:r>
      <w:proofErr w:type="spellStart"/>
      <w:r w:rsidR="00E40BF7">
        <w:rPr>
          <w:rFonts w:ascii="Times New Roman" w:hAnsi="Times New Roman" w:cs="Times New Roman" w:hint="eastAsia"/>
          <w:sz w:val="24"/>
          <w:szCs w:val="24"/>
        </w:rPr>
        <w:t>Levkovs</w:t>
      </w:r>
      <w:r w:rsidR="00396100">
        <w:rPr>
          <w:rFonts w:ascii="Times New Roman" w:hAnsi="Times New Roman" w:cs="Times New Roman" w:hint="eastAsia"/>
          <w:sz w:val="24"/>
          <w:szCs w:val="24"/>
        </w:rPr>
        <w:t>kij</w:t>
      </w:r>
      <w:proofErr w:type="spellEnd"/>
      <w:r w:rsidR="0039610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[1] </w:t>
      </w:r>
      <w:r w:rsidR="00396100">
        <w:rPr>
          <w:rFonts w:ascii="Times New Roman" w:hAnsi="Times New Roman" w:cs="Times New Roman" w:hint="eastAsia"/>
          <w:sz w:val="24"/>
          <w:szCs w:val="24"/>
        </w:rPr>
        <w:t xml:space="preserve">are known to </w:t>
      </w:r>
      <w:r w:rsidR="00E40BF7">
        <w:rPr>
          <w:rFonts w:ascii="Times New Roman" w:hAnsi="Times New Roman" w:cs="Times New Roman" w:hint="eastAsia"/>
          <w:sz w:val="24"/>
          <w:szCs w:val="24"/>
        </w:rPr>
        <w:t xml:space="preserve">show good agreements with later experimental data sets </w:t>
      </w:r>
      <w:r w:rsidR="00E734CC">
        <w:rPr>
          <w:rFonts w:ascii="Times New Roman" w:hAnsi="Times New Roman" w:cs="Times New Roman" w:hint="eastAsia"/>
          <w:sz w:val="24"/>
          <w:szCs w:val="24"/>
        </w:rPr>
        <w:t>(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if the </w:t>
      </w:r>
      <w:r w:rsidR="00EA7210">
        <w:rPr>
          <w:rFonts w:ascii="Times New Roman" w:hAnsi="Times New Roman" w:cs="Times New Roman"/>
          <w:sz w:val="24"/>
          <w:szCs w:val="24"/>
        </w:rPr>
        <w:t>original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 data are renormalized due to change in the monitor cross section</w:t>
      </w:r>
      <w:r w:rsidR="00E734CC">
        <w:rPr>
          <w:rFonts w:ascii="Times New Roman" w:hAnsi="Times New Roman" w:cs="Times New Roman" w:hint="eastAsia"/>
          <w:sz w:val="24"/>
          <w:szCs w:val="24"/>
        </w:rPr>
        <w:t>)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, and </w:t>
      </w:r>
      <w:r w:rsidR="00396100">
        <w:rPr>
          <w:rFonts w:ascii="Times New Roman" w:hAnsi="Times New Roman" w:cs="Times New Roman" w:hint="eastAsia"/>
          <w:sz w:val="24"/>
          <w:szCs w:val="24"/>
        </w:rPr>
        <w:t xml:space="preserve">it is 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one of </w:t>
      </w:r>
      <w:r w:rsidR="00E734CC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most frequently cited </w:t>
      </w:r>
      <w:r w:rsidR="00396100">
        <w:rPr>
          <w:rFonts w:ascii="Times New Roman" w:hAnsi="Times New Roman" w:cs="Times New Roman" w:hint="eastAsia"/>
          <w:sz w:val="24"/>
          <w:szCs w:val="24"/>
        </w:rPr>
        <w:t>ex</w:t>
      </w:r>
      <w:r w:rsidR="00E734CC">
        <w:rPr>
          <w:rFonts w:ascii="Times New Roman" w:hAnsi="Times New Roman" w:cs="Times New Roman" w:hint="eastAsia"/>
          <w:sz w:val="24"/>
          <w:szCs w:val="24"/>
        </w:rPr>
        <w:t>perimental nuclear data</w:t>
      </w:r>
      <w:r w:rsidR="00EA7210">
        <w:rPr>
          <w:rFonts w:ascii="Times New Roman" w:hAnsi="Times New Roman" w:cs="Times New Roman" w:hint="eastAsia"/>
          <w:sz w:val="24"/>
          <w:szCs w:val="24"/>
        </w:rPr>
        <w:t xml:space="preserve"> from Kazakhsta</w:t>
      </w:r>
      <w:r w:rsidR="00E734CC">
        <w:rPr>
          <w:rFonts w:ascii="Times New Roman" w:hAnsi="Times New Roman" w:cs="Times New Roman" w:hint="eastAsia"/>
          <w:sz w:val="24"/>
          <w:szCs w:val="24"/>
        </w:rPr>
        <w:t>n.</w:t>
      </w:r>
    </w:p>
    <w:p w:rsidR="00E734CC" w:rsidRPr="00270909" w:rsidRDefault="00E734CC" w:rsidP="006D249C">
      <w:pPr>
        <w:spacing w:before="120"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270909">
        <w:rPr>
          <w:rFonts w:ascii="Times New Roman" w:hAnsi="Times New Roman" w:cs="Times New Roman"/>
          <w:sz w:val="24"/>
          <w:szCs w:val="24"/>
        </w:rPr>
        <w:t xml:space="preserve">Recently the IAEA Nuclear Data Section has performed checking of EXFOR completeness for radioisotope production cross sections by using the reference lists in </w:t>
      </w:r>
      <w:proofErr w:type="spellStart"/>
      <w:r w:rsidRPr="00270909">
        <w:rPr>
          <w:rFonts w:ascii="Times New Roman" w:hAnsi="Times New Roman" w:cs="Times New Roman"/>
          <w:sz w:val="24"/>
          <w:szCs w:val="24"/>
        </w:rPr>
        <w:t>Landolt-B</w:t>
      </w:r>
      <w:r w:rsidRPr="00270909">
        <w:rPr>
          <w:rFonts w:ascii="Times New Roman" w:eastAsia="MS Mincho" w:hAnsi="Times New Roman" w:cs="Times New Roman"/>
          <w:sz w:val="24"/>
          <w:szCs w:val="24"/>
        </w:rPr>
        <w:t>ö</w:t>
      </w:r>
      <w:r>
        <w:rPr>
          <w:rFonts w:ascii="Times New Roman" w:eastAsia="MS Mincho" w:hAnsi="Times New Roman" w:cs="Times New Roman" w:hint="eastAsia"/>
          <w:sz w:val="24"/>
          <w:szCs w:val="24"/>
        </w:rPr>
        <w:t>rnstein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compilation [2], and found some experimental works from Kazakhstan and Uzbekistan are missing in EXFOR. All of them are published in </w:t>
      </w:r>
      <w:r>
        <w:rPr>
          <w:rFonts w:ascii="Times New Roman" w:eastAsia="MS Mincho" w:hAnsi="Times New Roman" w:cs="Times New Roman"/>
          <w:sz w:val="24"/>
          <w:szCs w:val="24"/>
        </w:rPr>
        <w:t>domestic</w:t>
      </w:r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journals (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Izvestiya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Akademii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Nauk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Kazakhskii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SSR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Seriya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Fizika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i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Matematiches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,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Izvestiya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Akademii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Nauk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Uzbekiskoi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SSR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Seriya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Fizika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i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</w:rPr>
        <w:t>Matematiches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). Especially there is no EXFOR entry compiled from the latter journal, and the situation may indicate that systematic scanning of articles for EXFOR compilation have not been performed for these </w:t>
      </w:r>
      <w:r>
        <w:rPr>
          <w:rFonts w:ascii="Times New Roman" w:eastAsia="MS Mincho" w:hAnsi="Times New Roman" w:cs="Times New Roman"/>
          <w:sz w:val="24"/>
          <w:szCs w:val="24"/>
        </w:rPr>
        <w:t>journals</w:t>
      </w:r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though it is not easy to find these journals in libraries outside these countries. Furthermore, it was mentioned during this workshop (The </w:t>
      </w:r>
      <w:r w:rsidRPr="008B1E6C">
        <w:rPr>
          <w:rFonts w:ascii="Times New Roman" w:eastAsia="MS Mincho" w:hAnsi="Times New Roman" w:cs="Times New Roman"/>
          <w:sz w:val="24"/>
          <w:szCs w:val="24"/>
        </w:rPr>
        <w:t>4th Asian Nuclear Reaction Database Development Workshop</w:t>
      </w:r>
      <w:r>
        <w:rPr>
          <w:rFonts w:ascii="Times New Roman" w:eastAsia="MS Mincho" w:hAnsi="Times New Roman" w:cs="Times New Roman" w:hint="eastAsia"/>
          <w:sz w:val="24"/>
          <w:szCs w:val="24"/>
        </w:rPr>
        <w:t>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Almaty</w:t>
      </w:r>
      <w:r>
        <w:rPr>
          <w:rFonts w:ascii="Times New Roman" w:eastAsia="MS Mincho" w:hAnsi="Times New Roman" w:cs="Times New Roman" w:hint="eastAsia"/>
          <w:sz w:val="24"/>
          <w:szCs w:val="24"/>
        </w:rPr>
        <w:t>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Kazakhstan</w:t>
      </w:r>
      <w:r>
        <w:rPr>
          <w:rFonts w:ascii="Times New Roman" w:eastAsia="MS Mincho" w:hAnsi="Times New Roman" w:cs="Times New Roman" w:hint="eastAsia"/>
          <w:sz w:val="24"/>
          <w:szCs w:val="24"/>
        </w:rPr>
        <w:t>,</w:t>
      </w:r>
      <w:r w:rsidRPr="008B1E6C">
        <w:rPr>
          <w:rFonts w:ascii="Times New Roman" w:eastAsia="MS Mincho" w:hAnsi="Times New Roman" w:cs="Times New Roman"/>
          <w:sz w:val="24"/>
          <w:szCs w:val="24"/>
        </w:rPr>
        <w:t xml:space="preserve"> 23-25 October 2013</w:t>
      </w:r>
      <w:r>
        <w:rPr>
          <w:rFonts w:ascii="Times New Roman" w:eastAsia="MS Mincho" w:hAnsi="Times New Roman" w:cs="Times New Roman" w:hint="eastAsia"/>
          <w:sz w:val="24"/>
          <w:szCs w:val="24"/>
        </w:rPr>
        <w:t xml:space="preserve">) that about half of experimental works from INP Almaty are still missing in EXFOR [3]. Appendices 1 and 2 show that digitized data are sometimes compiled </w:t>
      </w:r>
      <w:r>
        <w:rPr>
          <w:rFonts w:ascii="Times New Roman" w:eastAsia="MS Mincho" w:hAnsi="Times New Roman" w:cs="Times New Roman" w:hint="eastAsia"/>
          <w:sz w:val="24"/>
          <w:szCs w:val="24"/>
        </w:rPr>
        <w:lastRenderedPageBreak/>
        <w:t>instead of the original data provided by authors from Kazakhstan and Uzbekistan even for the experimental works published recently.</w:t>
      </w:r>
    </w:p>
    <w:p w:rsidR="00630389" w:rsidRDefault="00630389" w:rsidP="00E734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630389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>
            <wp:extent cx="4448175" cy="3076575"/>
            <wp:effectExtent l="0" t="0" r="0" b="0"/>
            <wp:docPr id="7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0389" w:rsidRPr="00CA717E" w:rsidRDefault="00630389" w:rsidP="006303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0389">
        <w:rPr>
          <w:rFonts w:ascii="Times New Roman" w:hAnsi="Times New Roman" w:cs="Times New Roman" w:hint="eastAsia"/>
          <w:b/>
          <w:sz w:val="24"/>
          <w:szCs w:val="24"/>
        </w:rPr>
        <w:t>Fig. 1</w:t>
      </w:r>
      <w:r w:rsidR="006D249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Cumulative numbers of EXFOR entries for charged-particle (cp) and neutron (n) induced reactions measured in Kazakhstan (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Kaz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) and Uzbekistan (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Uz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).</w:t>
      </w:r>
    </w:p>
    <w:p w:rsidR="00CA717E" w:rsidRPr="00EA7210" w:rsidRDefault="00CA717E" w:rsidP="00CA717E">
      <w:pPr>
        <w:rPr>
          <w:rFonts w:ascii="Times New Roman" w:hAnsi="Times New Roman" w:cs="Times New Roman"/>
          <w:sz w:val="24"/>
          <w:szCs w:val="24"/>
        </w:rPr>
      </w:pPr>
    </w:p>
    <w:p w:rsidR="00270909" w:rsidRDefault="00C5667E" w:rsidP="006D249C">
      <w:pPr>
        <w:spacing w:before="120" w:after="1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 w:rsidR="008B1E6C">
        <w:rPr>
          <w:rFonts w:ascii="Times New Roman" w:hAnsi="Times New Roman" w:cs="Times New Roman" w:hint="eastAsia"/>
          <w:sz w:val="24"/>
          <w:szCs w:val="24"/>
        </w:rPr>
        <w:t xml:space="preserve">he </w:t>
      </w:r>
      <w:r w:rsidR="008B1E6C" w:rsidRPr="008B1E6C">
        <w:rPr>
          <w:rFonts w:ascii="Times New Roman" w:hAnsi="Times New Roman" w:cs="Times New Roman"/>
          <w:sz w:val="24"/>
          <w:szCs w:val="24"/>
        </w:rPr>
        <w:t>Institute of Experim</w:t>
      </w:r>
      <w:r w:rsidR="008B1E6C">
        <w:rPr>
          <w:rFonts w:ascii="Times New Roman" w:hAnsi="Times New Roman" w:cs="Times New Roman"/>
          <w:sz w:val="24"/>
          <w:szCs w:val="24"/>
        </w:rPr>
        <w:t xml:space="preserve">ental and Theoretical Physics, </w:t>
      </w:r>
      <w:r w:rsidR="008B1E6C">
        <w:rPr>
          <w:rFonts w:ascii="Times New Roman" w:hAnsi="Times New Roman" w:cs="Times New Roman" w:hint="eastAsia"/>
          <w:sz w:val="24"/>
          <w:szCs w:val="24"/>
        </w:rPr>
        <w:t>A</w:t>
      </w:r>
      <w:r w:rsidR="008B1E6C" w:rsidRPr="008B1E6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="008B1E6C" w:rsidRPr="008B1E6C">
        <w:rPr>
          <w:rFonts w:ascii="Times New Roman" w:hAnsi="Times New Roman" w:cs="Times New Roman"/>
          <w:sz w:val="24"/>
          <w:szCs w:val="24"/>
        </w:rPr>
        <w:t>Fa</w:t>
      </w:r>
      <w:r w:rsidR="008B1E6C">
        <w:rPr>
          <w:rFonts w:ascii="Times New Roman" w:hAnsi="Times New Roman" w:cs="Times New Roman"/>
          <w:sz w:val="24"/>
          <w:szCs w:val="24"/>
        </w:rPr>
        <w:t>rabi</w:t>
      </w:r>
      <w:proofErr w:type="spellEnd"/>
      <w:r w:rsidR="008B1E6C">
        <w:rPr>
          <w:rFonts w:ascii="Times New Roman" w:hAnsi="Times New Roman" w:cs="Times New Roman"/>
          <w:sz w:val="24"/>
          <w:szCs w:val="24"/>
        </w:rPr>
        <w:t xml:space="preserve"> Kazakh National University</w:t>
      </w:r>
      <w:r w:rsidR="008B1E6C">
        <w:rPr>
          <w:rFonts w:ascii="Times New Roman" w:hAnsi="Times New Roman" w:cs="Times New Roman" w:hint="eastAsia"/>
          <w:sz w:val="24"/>
          <w:szCs w:val="24"/>
        </w:rPr>
        <w:t xml:space="preserve"> organize</w:t>
      </w:r>
      <w:r w:rsidR="008D64BC">
        <w:rPr>
          <w:rFonts w:ascii="Times New Roman" w:hAnsi="Times New Roman" w:cs="Times New Roman"/>
          <w:sz w:val="24"/>
          <w:szCs w:val="24"/>
        </w:rPr>
        <w:t>d</w:t>
      </w:r>
      <w:r w:rsidR="008B1E6C">
        <w:rPr>
          <w:rFonts w:ascii="Times New Roman" w:hAnsi="Times New Roman" w:cs="Times New Roman" w:hint="eastAsia"/>
          <w:sz w:val="24"/>
          <w:szCs w:val="24"/>
        </w:rPr>
        <w:t xml:space="preserve"> a </w:t>
      </w:r>
      <w:proofErr w:type="gramStart"/>
      <w:r w:rsidR="008B1E6C">
        <w:rPr>
          <w:rFonts w:ascii="Times New Roman" w:hAnsi="Times New Roman" w:cs="Times New Roman" w:hint="eastAsia"/>
          <w:sz w:val="24"/>
          <w:szCs w:val="24"/>
        </w:rPr>
        <w:t>three-</w:t>
      </w:r>
      <w:proofErr w:type="spellStart"/>
      <w:r w:rsidR="008B1E6C">
        <w:rPr>
          <w:rFonts w:ascii="Times New Roman" w:hAnsi="Times New Roman" w:cs="Times New Roman" w:hint="eastAsia"/>
          <w:sz w:val="24"/>
          <w:szCs w:val="24"/>
        </w:rPr>
        <w:t>days</w:t>
      </w:r>
      <w:proofErr w:type="spellEnd"/>
      <w:proofErr w:type="gramEnd"/>
      <w:r w:rsidR="008B1E6C">
        <w:rPr>
          <w:rFonts w:ascii="Times New Roman" w:hAnsi="Times New Roman" w:cs="Times New Roman" w:hint="eastAsia"/>
          <w:sz w:val="24"/>
          <w:szCs w:val="24"/>
        </w:rPr>
        <w:t xml:space="preserve"> workshop </w:t>
      </w:r>
      <w:r w:rsidR="008D64BC">
        <w:rPr>
          <w:rFonts w:ascii="Times New Roman" w:hAnsi="Times New Roman" w:cs="Times New Roman"/>
          <w:sz w:val="24"/>
          <w:szCs w:val="24"/>
        </w:rPr>
        <w:t xml:space="preserve">from </w:t>
      </w:r>
      <w:r w:rsidR="008B1E6C">
        <w:rPr>
          <w:rFonts w:ascii="Times New Roman" w:hAnsi="Times New Roman" w:cs="Times New Roman" w:hint="eastAsia"/>
          <w:sz w:val="24"/>
          <w:szCs w:val="24"/>
        </w:rPr>
        <w:t>28</w:t>
      </w:r>
      <w:r w:rsidR="008D64BC">
        <w:rPr>
          <w:rFonts w:ascii="Times New Roman" w:hAnsi="Times New Roman" w:cs="Times New Roman"/>
          <w:sz w:val="24"/>
          <w:szCs w:val="24"/>
        </w:rPr>
        <w:t xml:space="preserve"> to</w:t>
      </w:r>
      <w:r w:rsidR="008B1E6C">
        <w:rPr>
          <w:rFonts w:ascii="Times New Roman" w:hAnsi="Times New Roman" w:cs="Times New Roman" w:hint="eastAsia"/>
          <w:sz w:val="24"/>
          <w:szCs w:val="24"/>
        </w:rPr>
        <w:t xml:space="preserve"> 30 October 2013 </w:t>
      </w:r>
      <w:r w:rsidR="004C5951">
        <w:rPr>
          <w:rFonts w:ascii="Times New Roman" w:hAnsi="Times New Roman" w:cs="Times New Roman" w:hint="eastAsia"/>
          <w:sz w:val="24"/>
          <w:szCs w:val="24"/>
        </w:rPr>
        <w:t>for young researchers from Kazakhstan and Uzbekistan in order to improve the above mentioned situation</w:t>
      </w:r>
      <w:r w:rsidR="008B1E6C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4C5951">
        <w:rPr>
          <w:rFonts w:ascii="Times New Roman" w:hAnsi="Times New Roman" w:cs="Times New Roman" w:hint="eastAsia"/>
          <w:sz w:val="24"/>
          <w:szCs w:val="24"/>
        </w:rPr>
        <w:t xml:space="preserve">Following some lectures on access to EXFOR and </w:t>
      </w:r>
      <w:r w:rsidR="00E734CC">
        <w:rPr>
          <w:rFonts w:ascii="Times New Roman" w:hAnsi="Times New Roman" w:cs="Times New Roman" w:hint="eastAsia"/>
          <w:sz w:val="24"/>
          <w:szCs w:val="24"/>
        </w:rPr>
        <w:t>preparation</w:t>
      </w:r>
      <w:r w:rsidR="004C5951">
        <w:rPr>
          <w:rFonts w:ascii="Times New Roman" w:hAnsi="Times New Roman" w:cs="Times New Roman" w:hint="eastAsia"/>
          <w:sz w:val="24"/>
          <w:szCs w:val="24"/>
        </w:rPr>
        <w:t xml:space="preserve"> of EXFOR entries, the participants searched some EXFOR entries by themselves, and also learne</w:t>
      </w:r>
      <w:r w:rsidR="001329BC">
        <w:rPr>
          <w:rFonts w:ascii="Times New Roman" w:hAnsi="Times New Roman" w:cs="Times New Roman" w:hint="eastAsia"/>
          <w:sz w:val="24"/>
          <w:szCs w:val="24"/>
        </w:rPr>
        <w:t>d EXFOR compilation by using an</w:t>
      </w:r>
      <w:r w:rsidR="004C5951">
        <w:rPr>
          <w:rFonts w:ascii="Times New Roman" w:hAnsi="Times New Roman" w:cs="Times New Roman" w:hint="eastAsia"/>
          <w:sz w:val="24"/>
          <w:szCs w:val="24"/>
        </w:rPr>
        <w:t xml:space="preserve"> editor (HENDEL) </w:t>
      </w:r>
      <w:r w:rsidR="00F449AB">
        <w:rPr>
          <w:rFonts w:ascii="Times New Roman" w:hAnsi="Times New Roman" w:cs="Times New Roman" w:hint="eastAsia"/>
          <w:sz w:val="24"/>
          <w:szCs w:val="24"/>
        </w:rPr>
        <w:t>[4</w:t>
      </w:r>
      <w:r w:rsidR="00E734CC">
        <w:rPr>
          <w:rFonts w:ascii="Times New Roman" w:hAnsi="Times New Roman" w:cs="Times New Roman" w:hint="eastAsia"/>
          <w:sz w:val="24"/>
          <w:szCs w:val="24"/>
        </w:rPr>
        <w:t xml:space="preserve">] </w:t>
      </w:r>
      <w:r w:rsidR="004C5951">
        <w:rPr>
          <w:rFonts w:ascii="Times New Roman" w:hAnsi="Times New Roman" w:cs="Times New Roman" w:hint="eastAsia"/>
          <w:sz w:val="24"/>
          <w:szCs w:val="24"/>
        </w:rPr>
        <w:t xml:space="preserve">and digitizer (GSYS) </w:t>
      </w:r>
      <w:r w:rsidR="00F449AB">
        <w:rPr>
          <w:rFonts w:ascii="Times New Roman" w:hAnsi="Times New Roman" w:cs="Times New Roman" w:hint="eastAsia"/>
          <w:sz w:val="24"/>
          <w:szCs w:val="24"/>
        </w:rPr>
        <w:t>[5</w:t>
      </w:r>
      <w:r w:rsidR="00E734CC">
        <w:rPr>
          <w:rFonts w:ascii="Times New Roman" w:hAnsi="Times New Roman" w:cs="Times New Roman" w:hint="eastAsia"/>
          <w:sz w:val="24"/>
          <w:szCs w:val="24"/>
        </w:rPr>
        <w:t>]</w:t>
      </w:r>
      <w:r w:rsidR="004C5951" w:rsidRPr="004C5951">
        <w:rPr>
          <w:rFonts w:ascii="Times New Roman" w:hAnsi="Times New Roman" w:cs="Times New Roman"/>
          <w:sz w:val="24"/>
          <w:szCs w:val="24"/>
        </w:rPr>
        <w:t xml:space="preserve">. </w:t>
      </w:r>
      <w:r w:rsidR="00F449AB">
        <w:rPr>
          <w:rFonts w:ascii="Times New Roman" w:hAnsi="Times New Roman" w:cs="Times New Roman" w:hint="eastAsia"/>
          <w:sz w:val="24"/>
          <w:szCs w:val="24"/>
        </w:rPr>
        <w:t>T</w:t>
      </w:r>
      <w:r w:rsidR="001369E2">
        <w:rPr>
          <w:rFonts w:ascii="Times New Roman" w:hAnsi="Times New Roman" w:cs="Times New Roman"/>
          <w:sz w:val="24"/>
          <w:szCs w:val="24"/>
        </w:rPr>
        <w:t xml:space="preserve">he participants </w:t>
      </w:r>
      <w:r w:rsidR="001369E2">
        <w:rPr>
          <w:rFonts w:ascii="Times New Roman" w:hAnsi="Times New Roman" w:cs="Times New Roman" w:hint="eastAsia"/>
          <w:sz w:val="24"/>
          <w:szCs w:val="24"/>
        </w:rPr>
        <w:t>finalized</w:t>
      </w:r>
      <w:r w:rsidR="004C5951" w:rsidRPr="004C5951">
        <w:rPr>
          <w:rFonts w:ascii="Times New Roman" w:hAnsi="Times New Roman" w:cs="Times New Roman"/>
          <w:sz w:val="24"/>
          <w:szCs w:val="24"/>
        </w:rPr>
        <w:t xml:space="preserve"> one new EXFOR entry for</w:t>
      </w:r>
      <w:r w:rsidR="004C5951"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="004C5951" w:rsidRPr="004C59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5951" w:rsidRPr="004C5951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4C5951" w:rsidRPr="004C5951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="004C5951" w:rsidRPr="004C5951">
        <w:rPr>
          <w:rFonts w:ascii="Times New Roman" w:hAnsi="Times New Roman" w:cs="Times New Roman"/>
          <w:sz w:val="24"/>
          <w:szCs w:val="24"/>
        </w:rPr>
        <w:t>α,n)</w:t>
      </w:r>
      <w:r w:rsidR="004C5951" w:rsidRPr="004C5951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4C5951" w:rsidRPr="004C5951">
        <w:rPr>
          <w:rFonts w:ascii="Times New Roman" w:hAnsi="Times New Roman" w:cs="Times New Roman"/>
          <w:sz w:val="24"/>
          <w:szCs w:val="24"/>
        </w:rPr>
        <w:t xml:space="preserve">Na </w:t>
      </w:r>
      <w:r w:rsidR="004C5951">
        <w:rPr>
          <w:rFonts w:ascii="Times New Roman" w:hAnsi="Times New Roman" w:cs="Times New Roman" w:hint="eastAsia"/>
          <w:sz w:val="24"/>
          <w:szCs w:val="24"/>
        </w:rPr>
        <w:t>excitation fu</w:t>
      </w:r>
      <w:r w:rsidR="00F449AB">
        <w:rPr>
          <w:rFonts w:ascii="Times New Roman" w:hAnsi="Times New Roman" w:cs="Times New Roman" w:hint="eastAsia"/>
          <w:sz w:val="24"/>
          <w:szCs w:val="24"/>
        </w:rPr>
        <w:t>nction measured at INP Almaty [6</w:t>
      </w:r>
      <w:r w:rsidR="001369E2">
        <w:rPr>
          <w:rFonts w:ascii="Times New Roman" w:hAnsi="Times New Roman" w:cs="Times New Roman" w:hint="eastAsia"/>
          <w:sz w:val="24"/>
          <w:szCs w:val="24"/>
        </w:rPr>
        <w:t xml:space="preserve">], </w:t>
      </w:r>
      <w:r w:rsidR="00F449AB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1369E2">
        <w:rPr>
          <w:rFonts w:ascii="Times New Roman" w:hAnsi="Times New Roman" w:cs="Times New Roman" w:hint="eastAsia"/>
          <w:sz w:val="24"/>
          <w:szCs w:val="24"/>
        </w:rPr>
        <w:t xml:space="preserve">the entry was </w:t>
      </w:r>
      <w:r w:rsidR="00F449AB">
        <w:rPr>
          <w:rFonts w:ascii="Times New Roman" w:hAnsi="Times New Roman" w:cs="Times New Roman" w:hint="eastAsia"/>
          <w:sz w:val="24"/>
          <w:szCs w:val="24"/>
        </w:rPr>
        <w:t>accepted</w:t>
      </w:r>
      <w:r w:rsidR="001369E2">
        <w:rPr>
          <w:rFonts w:ascii="Times New Roman" w:hAnsi="Times New Roman" w:cs="Times New Roman" w:hint="eastAsia"/>
          <w:sz w:val="24"/>
          <w:szCs w:val="24"/>
        </w:rPr>
        <w:t xml:space="preserve"> by the IAEA Nuclear Data Section for transmission to other data </w:t>
      </w:r>
      <w:proofErr w:type="spellStart"/>
      <w:r w:rsidR="001369E2">
        <w:rPr>
          <w:rFonts w:ascii="Times New Roman" w:hAnsi="Times New Roman" w:cs="Times New Roman" w:hint="eastAsia"/>
          <w:sz w:val="24"/>
          <w:szCs w:val="24"/>
        </w:rPr>
        <w:t>centres</w:t>
      </w:r>
      <w:proofErr w:type="spellEnd"/>
      <w:r w:rsidR="001369E2">
        <w:rPr>
          <w:rFonts w:ascii="Times New Roman" w:hAnsi="Times New Roman" w:cs="Times New Roman" w:hint="eastAsia"/>
          <w:sz w:val="24"/>
          <w:szCs w:val="24"/>
        </w:rPr>
        <w:t>. Note that there hav</w:t>
      </w:r>
      <w:bookmarkStart w:id="0" w:name="_GoBack"/>
      <w:bookmarkEnd w:id="0"/>
      <w:r w:rsidR="001369E2">
        <w:rPr>
          <w:rFonts w:ascii="Times New Roman" w:hAnsi="Times New Roman" w:cs="Times New Roman" w:hint="eastAsia"/>
          <w:sz w:val="24"/>
          <w:szCs w:val="24"/>
        </w:rPr>
        <w:t xml:space="preserve">e been only two EXFOR entries reporting this </w:t>
      </w:r>
      <w:r w:rsidR="00F449AB" w:rsidRPr="004C5951">
        <w:rPr>
          <w:rFonts w:ascii="Times New Roman" w:hAnsi="Times New Roman" w:cs="Times New Roman"/>
          <w:sz w:val="24"/>
          <w:szCs w:val="24"/>
        </w:rPr>
        <w:t>(α</w:t>
      </w:r>
      <w:proofErr w:type="gramStart"/>
      <w:r w:rsidR="00F449AB" w:rsidRPr="004C5951">
        <w:rPr>
          <w:rFonts w:ascii="Times New Roman" w:hAnsi="Times New Roman" w:cs="Times New Roman"/>
          <w:sz w:val="24"/>
          <w:szCs w:val="24"/>
        </w:rPr>
        <w:t>,n</w:t>
      </w:r>
      <w:proofErr w:type="gramEnd"/>
      <w:r w:rsidR="00F449AB" w:rsidRPr="004C5951">
        <w:rPr>
          <w:rFonts w:ascii="Times New Roman" w:hAnsi="Times New Roman" w:cs="Times New Roman"/>
          <w:sz w:val="24"/>
          <w:szCs w:val="24"/>
        </w:rPr>
        <w:t>)</w:t>
      </w:r>
      <w:r w:rsidR="00F449A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69E2">
        <w:rPr>
          <w:rFonts w:ascii="Times New Roman" w:hAnsi="Times New Roman" w:cs="Times New Roman" w:hint="eastAsia"/>
          <w:sz w:val="24"/>
          <w:szCs w:val="24"/>
        </w:rPr>
        <w:t>excitation function. Both of them were measured by detection of neutrons while the Kazakh experiment reports data by activation.</w:t>
      </w:r>
    </w:p>
    <w:p w:rsidR="001369E2" w:rsidRPr="00270909" w:rsidRDefault="001369E2" w:rsidP="006D249C">
      <w:pPr>
        <w:spacing w:before="120" w:after="1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After the workshop, the participants </w:t>
      </w:r>
      <w:r w:rsidR="003113AB">
        <w:rPr>
          <w:rFonts w:ascii="Times New Roman" w:hAnsi="Times New Roman" w:cs="Times New Roman"/>
          <w:sz w:val="24"/>
          <w:szCs w:val="24"/>
        </w:rPr>
        <w:t>finalized</w:t>
      </w:r>
      <w:r w:rsidR="003113AB">
        <w:rPr>
          <w:rFonts w:ascii="Times New Roman" w:hAnsi="Times New Roman" w:cs="Times New Roman" w:hint="eastAsia"/>
          <w:sz w:val="24"/>
          <w:szCs w:val="24"/>
        </w:rPr>
        <w:t xml:space="preserve"> three more EXFOR entries for </w:t>
      </w:r>
      <w:r>
        <w:rPr>
          <w:rFonts w:ascii="Times New Roman" w:hAnsi="Times New Roman" w:cs="Times New Roman" w:hint="eastAsia"/>
          <w:sz w:val="24"/>
          <w:szCs w:val="24"/>
        </w:rPr>
        <w:t xml:space="preserve">radioisotope production cross sections measured at INP Almaty </w:t>
      </w:r>
      <w:r w:rsidR="00E734CC">
        <w:rPr>
          <w:rFonts w:ascii="Times New Roman" w:hAnsi="Times New Roman" w:cs="Times New Roman" w:hint="eastAsia"/>
          <w:sz w:val="24"/>
          <w:szCs w:val="24"/>
        </w:rPr>
        <w:t>[7</w:t>
      </w:r>
      <w:r w:rsidR="00F55E23">
        <w:rPr>
          <w:rFonts w:ascii="Times New Roman" w:hAnsi="Times New Roman" w:cs="Times New Roman" w:hint="eastAsia"/>
          <w:sz w:val="24"/>
          <w:szCs w:val="24"/>
        </w:rPr>
        <w:t xml:space="preserve">] </w:t>
      </w:r>
      <w:r>
        <w:rPr>
          <w:rFonts w:ascii="Times New Roman" w:hAnsi="Times New Roman" w:cs="Times New Roman" w:hint="eastAsia"/>
          <w:sz w:val="24"/>
          <w:szCs w:val="24"/>
        </w:rPr>
        <w:t>and Tashkent</w:t>
      </w:r>
      <w:r w:rsidR="00E734CC">
        <w:rPr>
          <w:rFonts w:ascii="Times New Roman" w:hAnsi="Times New Roman" w:cs="Times New Roman" w:hint="eastAsia"/>
          <w:sz w:val="24"/>
          <w:szCs w:val="24"/>
        </w:rPr>
        <w:t xml:space="preserve"> [8-9</w:t>
      </w:r>
      <w:r w:rsidR="00F55E23">
        <w:rPr>
          <w:rFonts w:ascii="Times New Roman" w:hAnsi="Times New Roman" w:cs="Times New Roman" w:hint="eastAsia"/>
          <w:sz w:val="24"/>
          <w:szCs w:val="24"/>
        </w:rPr>
        <w:t>]</w:t>
      </w:r>
      <w:r w:rsidR="003113AB">
        <w:rPr>
          <w:rFonts w:ascii="Times New Roman" w:hAnsi="Times New Roman" w:cs="Times New Roman" w:hint="eastAsia"/>
          <w:sz w:val="24"/>
          <w:szCs w:val="24"/>
        </w:rPr>
        <w:t>. A</w:t>
      </w:r>
      <w:r>
        <w:rPr>
          <w:rFonts w:ascii="Times New Roman" w:hAnsi="Times New Roman" w:cs="Times New Roman" w:hint="eastAsia"/>
          <w:sz w:val="24"/>
          <w:szCs w:val="24"/>
        </w:rPr>
        <w:t xml:space="preserve">ll Kazakh and Uzbek data identified as missing in EXFOR by checking against </w:t>
      </w:r>
      <w:proofErr w:type="spellStart"/>
      <w:r w:rsidRPr="00270909">
        <w:rPr>
          <w:rFonts w:ascii="Times New Roman" w:hAnsi="Times New Roman" w:cs="Times New Roman"/>
          <w:sz w:val="24"/>
          <w:szCs w:val="24"/>
        </w:rPr>
        <w:t>Landolt-B</w:t>
      </w:r>
      <w:r w:rsidRPr="00270909">
        <w:rPr>
          <w:rFonts w:ascii="Times New Roman" w:eastAsia="MS Mincho" w:hAnsi="Times New Roman" w:cs="Times New Roman"/>
          <w:sz w:val="24"/>
          <w:szCs w:val="24"/>
        </w:rPr>
        <w:t>ö</w:t>
      </w:r>
      <w:r>
        <w:rPr>
          <w:rFonts w:ascii="Times New Roman" w:eastAsia="MS Mincho" w:hAnsi="Times New Roman" w:cs="Times New Roman" w:hint="eastAsia"/>
          <w:sz w:val="24"/>
          <w:szCs w:val="24"/>
        </w:rPr>
        <w:t>rnstein</w:t>
      </w:r>
      <w:proofErr w:type="spellEnd"/>
      <w:r>
        <w:rPr>
          <w:rFonts w:ascii="Times New Roman" w:eastAsia="MS Mincho" w:hAnsi="Times New Roman" w:cs="Times New Roman" w:hint="eastAsia"/>
          <w:sz w:val="24"/>
          <w:szCs w:val="24"/>
        </w:rPr>
        <w:t xml:space="preserve"> compilation</w:t>
      </w:r>
      <w:r w:rsidR="003113AB">
        <w:rPr>
          <w:rFonts w:ascii="Times New Roman" w:eastAsia="MS Mincho" w:hAnsi="Times New Roman" w:cs="Times New Roman" w:hint="eastAsia"/>
          <w:sz w:val="24"/>
          <w:szCs w:val="24"/>
        </w:rPr>
        <w:t xml:space="preserve"> will be</w:t>
      </w:r>
      <w:r w:rsidR="003557AF"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r w:rsidR="003113AB">
        <w:rPr>
          <w:rFonts w:ascii="Times New Roman" w:eastAsia="MS Mincho" w:hAnsi="Times New Roman" w:cs="Times New Roman" w:hint="eastAsia"/>
          <w:sz w:val="24"/>
          <w:szCs w:val="24"/>
        </w:rPr>
        <w:t xml:space="preserve">included in EXFOR </w:t>
      </w:r>
      <w:r w:rsidR="001C5D27">
        <w:rPr>
          <w:rFonts w:ascii="Times New Roman" w:eastAsia="MS Mincho" w:hAnsi="Times New Roman" w:cs="Times New Roman"/>
          <w:sz w:val="24"/>
          <w:szCs w:val="24"/>
        </w:rPr>
        <w:t xml:space="preserve">in the </w:t>
      </w:r>
      <w:r w:rsidR="003113AB">
        <w:rPr>
          <w:rFonts w:ascii="Times New Roman" w:eastAsia="MS Mincho" w:hAnsi="Times New Roman" w:cs="Times New Roman" w:hint="eastAsia"/>
          <w:sz w:val="24"/>
          <w:szCs w:val="24"/>
        </w:rPr>
        <w:t>near future.</w:t>
      </w:r>
      <w:r w:rsidR="00292558">
        <w:rPr>
          <w:rFonts w:ascii="Times New Roman" w:eastAsia="MS Mincho" w:hAnsi="Times New Roman" w:cs="Times New Roman" w:hint="eastAsia"/>
          <w:sz w:val="24"/>
          <w:szCs w:val="24"/>
        </w:rPr>
        <w:t xml:space="preserve"> After finalization of these entries, a new article published by researchers </w:t>
      </w:r>
      <w:r w:rsidR="00E734CC">
        <w:rPr>
          <w:rFonts w:ascii="Times New Roman" w:eastAsia="MS Mincho" w:hAnsi="Times New Roman" w:cs="Times New Roman" w:hint="eastAsia"/>
          <w:sz w:val="24"/>
          <w:szCs w:val="24"/>
        </w:rPr>
        <w:t xml:space="preserve">of Kazakh National </w:t>
      </w:r>
      <w:r w:rsidR="00E734CC">
        <w:rPr>
          <w:rFonts w:ascii="Times New Roman" w:eastAsia="MS Mincho" w:hAnsi="Times New Roman" w:cs="Times New Roman" w:hint="eastAsia"/>
          <w:sz w:val="24"/>
          <w:szCs w:val="24"/>
        </w:rPr>
        <w:lastRenderedPageBreak/>
        <w:t>University [10</w:t>
      </w:r>
      <w:r w:rsidR="00292558">
        <w:rPr>
          <w:rFonts w:ascii="Times New Roman" w:eastAsia="MS Mincho" w:hAnsi="Times New Roman" w:cs="Times New Roman" w:hint="eastAsia"/>
          <w:sz w:val="24"/>
          <w:szCs w:val="24"/>
        </w:rPr>
        <w:t>] was also compiled by us with the numerical data received from the authors. It must be also mentioned that one of us (M.T.) compiled another new article r</w:t>
      </w:r>
      <w:r w:rsidR="00E734CC">
        <w:rPr>
          <w:rFonts w:ascii="Times New Roman" w:eastAsia="MS Mincho" w:hAnsi="Times New Roman" w:cs="Times New Roman" w:hint="eastAsia"/>
          <w:sz w:val="24"/>
          <w:szCs w:val="24"/>
        </w:rPr>
        <w:t>eporting data from INP Almaty [11</w:t>
      </w:r>
      <w:r w:rsidR="00292558">
        <w:rPr>
          <w:rFonts w:ascii="Times New Roman" w:eastAsia="MS Mincho" w:hAnsi="Times New Roman" w:cs="Times New Roman" w:hint="eastAsia"/>
          <w:sz w:val="24"/>
          <w:szCs w:val="24"/>
        </w:rPr>
        <w:t xml:space="preserve">] </w:t>
      </w:r>
      <w:r w:rsidR="00531968">
        <w:rPr>
          <w:rFonts w:ascii="Times New Roman" w:eastAsia="MS Mincho" w:hAnsi="Times New Roman" w:cs="Times New Roman" w:hint="eastAsia"/>
          <w:sz w:val="24"/>
          <w:szCs w:val="24"/>
        </w:rPr>
        <w:t>under supervision of JCPRG prior to the workshop in Almaty. The IAEA Nuclea</w:t>
      </w:r>
      <w:r w:rsidR="004157B0">
        <w:rPr>
          <w:rFonts w:ascii="Times New Roman" w:eastAsia="MS Mincho" w:hAnsi="Times New Roman" w:cs="Times New Roman" w:hint="eastAsia"/>
          <w:sz w:val="24"/>
          <w:szCs w:val="24"/>
        </w:rPr>
        <w:t>r Data Section plans to continue this training</w:t>
      </w:r>
      <w:r w:rsidR="00531968"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r w:rsidR="00396100">
        <w:rPr>
          <w:rFonts w:ascii="Times New Roman" w:eastAsia="MS Mincho" w:hAnsi="Times New Roman" w:cs="Times New Roman" w:hint="eastAsia"/>
          <w:sz w:val="24"/>
          <w:szCs w:val="24"/>
        </w:rPr>
        <w:t>to investigate</w:t>
      </w:r>
      <w:r w:rsidR="00531968">
        <w:rPr>
          <w:rFonts w:ascii="Times New Roman" w:eastAsia="MS Mincho" w:hAnsi="Times New Roman" w:cs="Times New Roman" w:hint="eastAsia"/>
          <w:sz w:val="24"/>
          <w:szCs w:val="24"/>
        </w:rPr>
        <w:t xml:space="preserve"> if </w:t>
      </w:r>
      <w:r w:rsidR="004157B0">
        <w:rPr>
          <w:rFonts w:ascii="Times New Roman" w:eastAsia="MS Mincho" w:hAnsi="Times New Roman" w:cs="Times New Roman" w:hint="eastAsia"/>
          <w:sz w:val="24"/>
          <w:szCs w:val="24"/>
        </w:rPr>
        <w:t>the Kazakh</w:t>
      </w:r>
      <w:r w:rsidR="00B6436B">
        <w:rPr>
          <w:rFonts w:ascii="Times New Roman" w:eastAsia="MS Mincho" w:hAnsi="Times New Roman" w:cs="Times New Roman" w:hint="eastAsia"/>
          <w:sz w:val="24"/>
          <w:szCs w:val="24"/>
        </w:rPr>
        <w:t>stan</w:t>
      </w:r>
      <w:r w:rsidR="004157B0">
        <w:rPr>
          <w:rFonts w:ascii="Times New Roman" w:eastAsia="MS Mincho" w:hAnsi="Times New Roman" w:cs="Times New Roman" w:hint="eastAsia"/>
          <w:sz w:val="24"/>
          <w:szCs w:val="24"/>
        </w:rPr>
        <w:t>-Uzbek</w:t>
      </w:r>
      <w:r w:rsidR="00B6436B">
        <w:rPr>
          <w:rFonts w:ascii="Times New Roman" w:eastAsia="MS Mincho" w:hAnsi="Times New Roman" w:cs="Times New Roman" w:hint="eastAsia"/>
          <w:sz w:val="24"/>
          <w:szCs w:val="24"/>
        </w:rPr>
        <w:t>istan</w:t>
      </w:r>
      <w:r w:rsidR="004157B0">
        <w:rPr>
          <w:rFonts w:ascii="Times New Roman" w:eastAsia="MS Mincho" w:hAnsi="Times New Roman" w:cs="Times New Roman" w:hint="eastAsia"/>
          <w:sz w:val="24"/>
          <w:szCs w:val="24"/>
        </w:rPr>
        <w:t xml:space="preserve"> group is</w:t>
      </w:r>
      <w:r w:rsidR="00531968">
        <w:rPr>
          <w:rFonts w:ascii="Times New Roman" w:eastAsia="MS Mincho" w:hAnsi="Times New Roman" w:cs="Times New Roman" w:hint="eastAsia"/>
          <w:sz w:val="24"/>
          <w:szCs w:val="24"/>
        </w:rPr>
        <w:t xml:space="preserve"> capable to continue EXFOR </w:t>
      </w:r>
      <w:r w:rsidR="00531968">
        <w:rPr>
          <w:rFonts w:ascii="Times New Roman" w:eastAsia="MS Mincho" w:hAnsi="Times New Roman" w:cs="Times New Roman"/>
          <w:sz w:val="24"/>
          <w:szCs w:val="24"/>
        </w:rPr>
        <w:t>compilation</w:t>
      </w:r>
      <w:r w:rsidR="00531968">
        <w:rPr>
          <w:rFonts w:ascii="Times New Roman" w:eastAsia="MS Mincho" w:hAnsi="Times New Roman" w:cs="Times New Roman" w:hint="eastAsia"/>
          <w:sz w:val="24"/>
          <w:szCs w:val="24"/>
        </w:rPr>
        <w:t xml:space="preserve"> activity </w:t>
      </w:r>
      <w:r w:rsidR="004157B0">
        <w:rPr>
          <w:rFonts w:ascii="Times New Roman" w:eastAsia="MS Mincho" w:hAnsi="Times New Roman" w:cs="Times New Roman" w:hint="eastAsia"/>
          <w:sz w:val="24"/>
          <w:szCs w:val="24"/>
        </w:rPr>
        <w:t xml:space="preserve">for data from these countries </w:t>
      </w:r>
      <w:r w:rsidR="00531968">
        <w:rPr>
          <w:rFonts w:ascii="Times New Roman" w:eastAsia="MS Mincho" w:hAnsi="Times New Roman" w:cs="Times New Roman" w:hint="eastAsia"/>
          <w:sz w:val="24"/>
          <w:szCs w:val="24"/>
        </w:rPr>
        <w:t>on a stable basis.</w:t>
      </w:r>
    </w:p>
    <w:p w:rsidR="00531968" w:rsidRPr="00CB4BA2" w:rsidRDefault="00C26747" w:rsidP="006D249C">
      <w:pPr>
        <w:spacing w:before="120" w:after="120"/>
        <w:ind w:firstLine="426"/>
        <w:rPr>
          <w:rFonts w:ascii="Times New Roman" w:eastAsia="MS Mincho" w:hAnsi="Times New Roman" w:cs="Times New Roman"/>
          <w:sz w:val="24"/>
          <w:szCs w:val="24"/>
        </w:rPr>
      </w:pPr>
      <w:r w:rsidRPr="00CB4BA2">
        <w:rPr>
          <w:rFonts w:ascii="Times New Roman" w:hAnsi="Times New Roman" w:cs="Times New Roman"/>
          <w:sz w:val="24"/>
          <w:szCs w:val="24"/>
        </w:rPr>
        <w:t xml:space="preserve">We acknowledge </w:t>
      </w:r>
      <w:r w:rsidRPr="00CB4BA2">
        <w:rPr>
          <w:rFonts w:ascii="Times New Roman" w:hAnsi="Times New Roman" w:cs="Times New Roman" w:hint="eastAsia"/>
          <w:sz w:val="24"/>
          <w:szCs w:val="24"/>
        </w:rPr>
        <w:t>M</w:t>
      </w:r>
      <w:r w:rsidR="00712472" w:rsidRPr="00CB4BA2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spellStart"/>
      <w:r w:rsidR="00712472" w:rsidRPr="00CB4BA2">
        <w:rPr>
          <w:rFonts w:ascii="Times New Roman" w:hAnsi="Times New Roman" w:cs="Times New Roman" w:hint="eastAsia"/>
          <w:sz w:val="24"/>
          <w:szCs w:val="24"/>
        </w:rPr>
        <w:t>Aikawa</w:t>
      </w:r>
      <w:proofErr w:type="spellEnd"/>
      <w:r w:rsidRPr="00CB4BA2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D7AAA" w:rsidRPr="00CB4BA2">
        <w:rPr>
          <w:rFonts w:ascii="Times New Roman" w:hAnsi="Times New Roman" w:cs="Times New Roman" w:hint="eastAsia"/>
          <w:sz w:val="24"/>
          <w:szCs w:val="24"/>
        </w:rPr>
        <w:t xml:space="preserve">R. Forrest, </w:t>
      </w:r>
      <w:r w:rsidRPr="00CB4BA2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CB4BA2">
        <w:rPr>
          <w:rFonts w:ascii="Times New Roman" w:hAnsi="Times New Roman" w:cs="Times New Roman"/>
          <w:sz w:val="24"/>
          <w:szCs w:val="24"/>
        </w:rPr>
        <w:t>Kat</w:t>
      </w:r>
      <w:r w:rsidRPr="00CB4BA2">
        <w:rPr>
          <w:rFonts w:ascii="Times New Roman" w:eastAsia="MS Mincho" w:hAnsi="Times New Roman" w:cs="Times New Roman"/>
          <w:sz w:val="24"/>
          <w:szCs w:val="24"/>
        </w:rPr>
        <w:t>ō</w:t>
      </w:r>
      <w:proofErr w:type="spellEnd"/>
      <w:r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, N. </w:t>
      </w:r>
      <w:proofErr w:type="spellStart"/>
      <w:r w:rsidRPr="00CB4BA2">
        <w:rPr>
          <w:rFonts w:ascii="Times New Roman" w:eastAsia="MS Mincho" w:hAnsi="Times New Roman" w:cs="Times New Roman" w:hint="eastAsia"/>
          <w:sz w:val="24"/>
          <w:szCs w:val="24"/>
        </w:rPr>
        <w:t>Takibayev</w:t>
      </w:r>
      <w:proofErr w:type="spellEnd"/>
      <w:r w:rsidR="005D7AAA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 and R</w:t>
      </w:r>
      <w:r w:rsidR="00E734CC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. </w:t>
      </w:r>
      <w:proofErr w:type="spellStart"/>
      <w:r w:rsidR="00E734CC" w:rsidRPr="00CB4BA2">
        <w:rPr>
          <w:rFonts w:ascii="Times New Roman" w:eastAsia="MS Mincho" w:hAnsi="Times New Roman" w:cs="Times New Roman" w:hint="eastAsia"/>
          <w:sz w:val="24"/>
          <w:szCs w:val="24"/>
        </w:rPr>
        <w:t>Yarmukhamedov</w:t>
      </w:r>
      <w:proofErr w:type="spellEnd"/>
      <w:r w:rsidR="00396100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 for their support to this project. </w:t>
      </w:r>
      <w:r w:rsidR="00712472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S. </w:t>
      </w:r>
      <w:proofErr w:type="spellStart"/>
      <w:r w:rsidR="00712472" w:rsidRPr="00CB4BA2">
        <w:rPr>
          <w:rFonts w:ascii="Times New Roman" w:eastAsia="MS Mincho" w:hAnsi="Times New Roman" w:cs="Times New Roman" w:hint="eastAsia"/>
          <w:sz w:val="24"/>
          <w:szCs w:val="24"/>
        </w:rPr>
        <w:t>Babykina</w:t>
      </w:r>
      <w:proofErr w:type="spellEnd"/>
      <w:r w:rsidR="00F63F89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, S. Taova and V. </w:t>
      </w:r>
      <w:proofErr w:type="spellStart"/>
      <w:r w:rsidR="00F63F89" w:rsidRPr="00CB4BA2">
        <w:rPr>
          <w:rFonts w:ascii="Times New Roman" w:eastAsia="MS Mincho" w:hAnsi="Times New Roman" w:cs="Times New Roman" w:hint="eastAsia"/>
          <w:sz w:val="24"/>
          <w:szCs w:val="24"/>
        </w:rPr>
        <w:t>Varlamov</w:t>
      </w:r>
      <w:proofErr w:type="spellEnd"/>
      <w:r w:rsidR="00C5667E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 kindly agree to </w:t>
      </w:r>
      <w:r w:rsidR="00C5667E" w:rsidRPr="00CB4BA2">
        <w:rPr>
          <w:rFonts w:ascii="Times New Roman" w:hAnsi="Times New Roman" w:cs="Times New Roman" w:hint="eastAsia"/>
          <w:sz w:val="24"/>
          <w:szCs w:val="24"/>
        </w:rPr>
        <w:t>use</w:t>
      </w:r>
      <w:r w:rsidR="00F63F89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 articles reporting data measured in these countries</w:t>
      </w:r>
      <w:r w:rsidR="00C5667E" w:rsidRPr="00CB4BA2">
        <w:rPr>
          <w:rFonts w:ascii="Times New Roman" w:hAnsi="Times New Roman" w:cs="Times New Roman" w:hint="eastAsia"/>
          <w:sz w:val="24"/>
          <w:szCs w:val="24"/>
        </w:rPr>
        <w:t xml:space="preserve"> for this attempt</w:t>
      </w:r>
      <w:r w:rsidR="00F63F89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, and it is appreciated. One of us (N.O.) </w:t>
      </w:r>
      <w:r w:rsidR="00CF3181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also </w:t>
      </w:r>
      <w:r w:rsidR="00F63F89" w:rsidRPr="00CB4BA2">
        <w:rPr>
          <w:rFonts w:ascii="Times New Roman" w:eastAsia="MS Mincho" w:hAnsi="Times New Roman" w:cs="Times New Roman" w:hint="eastAsia"/>
          <w:sz w:val="24"/>
          <w:szCs w:val="24"/>
        </w:rPr>
        <w:t>wants to express his thanks to the hospitali</w:t>
      </w:r>
      <w:r w:rsidR="004157B0" w:rsidRPr="00CB4BA2">
        <w:rPr>
          <w:rFonts w:ascii="Times New Roman" w:eastAsia="MS Mincho" w:hAnsi="Times New Roman" w:cs="Times New Roman" w:hint="eastAsia"/>
          <w:sz w:val="24"/>
          <w:szCs w:val="24"/>
        </w:rPr>
        <w:t>ty</w:t>
      </w:r>
      <w:r w:rsidR="00F63F89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 by Kazakh National University and </w:t>
      </w:r>
      <w:proofErr w:type="spellStart"/>
      <w:r w:rsidR="004157B0" w:rsidRPr="00CB4BA2">
        <w:rPr>
          <w:rFonts w:ascii="Times New Roman" w:eastAsia="MS Mincho" w:hAnsi="Times New Roman" w:cs="Times New Roman" w:hint="eastAsia"/>
          <w:sz w:val="24"/>
          <w:szCs w:val="24"/>
        </w:rPr>
        <w:t>KazAS</w:t>
      </w:r>
      <w:proofErr w:type="spellEnd"/>
      <w:r w:rsidR="004157B0" w:rsidRPr="00CB4BA2">
        <w:rPr>
          <w:rFonts w:ascii="Times New Roman" w:eastAsia="MS Mincho" w:hAnsi="Times New Roman" w:cs="Times New Roman" w:hint="eastAsia"/>
          <w:sz w:val="24"/>
          <w:szCs w:val="24"/>
        </w:rPr>
        <w:t xml:space="preserve"> </w:t>
      </w:r>
      <w:r w:rsidR="00F63F89" w:rsidRPr="00CB4BA2">
        <w:rPr>
          <w:rFonts w:ascii="Times New Roman" w:eastAsia="MS Mincho" w:hAnsi="Times New Roman" w:cs="Times New Roman" w:hint="eastAsia"/>
          <w:sz w:val="24"/>
          <w:szCs w:val="24"/>
        </w:rPr>
        <w:t>Instit</w:t>
      </w:r>
      <w:r w:rsidR="004157B0" w:rsidRPr="00CB4BA2">
        <w:rPr>
          <w:rFonts w:ascii="Times New Roman" w:eastAsia="MS Mincho" w:hAnsi="Times New Roman" w:cs="Times New Roman" w:hint="eastAsia"/>
          <w:sz w:val="24"/>
          <w:szCs w:val="24"/>
        </w:rPr>
        <w:t>ute of Nuclear Physics</w:t>
      </w:r>
      <w:r w:rsidR="00F63F89" w:rsidRPr="00CB4BA2">
        <w:rPr>
          <w:rFonts w:ascii="Times New Roman" w:eastAsia="MS Mincho" w:hAnsi="Times New Roman" w:cs="Times New Roman" w:hint="eastAsia"/>
          <w:sz w:val="24"/>
          <w:szCs w:val="24"/>
        </w:rPr>
        <w:t>.</w:t>
      </w:r>
    </w:p>
    <w:p w:rsidR="00F63F89" w:rsidRPr="004157B0" w:rsidRDefault="00F63F89" w:rsidP="00CA717E">
      <w:pPr>
        <w:rPr>
          <w:rFonts w:ascii="Times New Roman" w:hAnsi="Times New Roman" w:cs="Times New Roman"/>
          <w:sz w:val="24"/>
          <w:szCs w:val="24"/>
        </w:rPr>
      </w:pPr>
    </w:p>
    <w:p w:rsidR="00CF5262" w:rsidRPr="00EA7210" w:rsidRDefault="00EA7210" w:rsidP="00CA717E">
      <w:pPr>
        <w:rPr>
          <w:rFonts w:ascii="Times New Roman" w:hAnsi="Times New Roman" w:cs="Times New Roman"/>
          <w:b/>
          <w:sz w:val="24"/>
          <w:szCs w:val="24"/>
        </w:rPr>
      </w:pPr>
      <w:r w:rsidRPr="00EA7210">
        <w:rPr>
          <w:rFonts w:ascii="Times New Roman" w:hAnsi="Times New Roman" w:cs="Times New Roman" w:hint="eastAsia"/>
          <w:b/>
          <w:sz w:val="24"/>
          <w:szCs w:val="24"/>
        </w:rPr>
        <w:t>References</w:t>
      </w:r>
    </w:p>
    <w:p w:rsidR="00EA7210" w:rsidRPr="00F332AE" w:rsidRDefault="00EA7210" w:rsidP="00F332AE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332AE">
        <w:rPr>
          <w:rFonts w:ascii="Times New Roman" w:hAnsi="Times New Roman" w:cs="Times New Roman" w:hint="eastAsia"/>
          <w:sz w:val="24"/>
          <w:szCs w:val="24"/>
        </w:rPr>
        <w:t xml:space="preserve">V.N. </w:t>
      </w:r>
      <w:proofErr w:type="spellStart"/>
      <w:r w:rsidRPr="00F332AE">
        <w:rPr>
          <w:rFonts w:ascii="Times New Roman" w:hAnsi="Times New Roman" w:cs="Times New Roman" w:hint="eastAsia"/>
          <w:sz w:val="24"/>
          <w:szCs w:val="24"/>
        </w:rPr>
        <w:t>Levkovskij</w:t>
      </w:r>
      <w:proofErr w:type="spellEnd"/>
      <w:r w:rsidRPr="00F332AE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F332AE">
        <w:rPr>
          <w:rFonts w:ascii="Times New Roman" w:hAnsi="Times New Roman" w:cs="Times New Roman"/>
          <w:sz w:val="24"/>
          <w:szCs w:val="24"/>
        </w:rPr>
        <w:t>Activation cross section nuclides of average masses (A</w:t>
      </w:r>
      <w:r w:rsidR="00CF3181" w:rsidRPr="00F332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32AE">
        <w:rPr>
          <w:rFonts w:ascii="Times New Roman" w:hAnsi="Times New Roman" w:cs="Times New Roman"/>
          <w:sz w:val="24"/>
          <w:szCs w:val="24"/>
        </w:rPr>
        <w:t>=</w:t>
      </w:r>
      <w:r w:rsidR="00CF3181" w:rsidRPr="00F332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32AE">
        <w:rPr>
          <w:rFonts w:ascii="Times New Roman" w:hAnsi="Times New Roman" w:cs="Times New Roman"/>
          <w:sz w:val="24"/>
          <w:szCs w:val="24"/>
        </w:rPr>
        <w:t>40</w:t>
      </w:r>
      <w:r w:rsidR="00CF3181" w:rsidRPr="00F332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32AE">
        <w:rPr>
          <w:rFonts w:ascii="Times New Roman" w:hAnsi="Times New Roman" w:cs="Times New Roman"/>
          <w:sz w:val="24"/>
          <w:szCs w:val="24"/>
        </w:rPr>
        <w:t>-</w:t>
      </w:r>
      <w:r w:rsidR="00CF3181" w:rsidRPr="00F332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32AE">
        <w:rPr>
          <w:rFonts w:ascii="Times New Roman" w:hAnsi="Times New Roman" w:cs="Times New Roman"/>
          <w:sz w:val="24"/>
          <w:szCs w:val="24"/>
        </w:rPr>
        <w:t>100)</w:t>
      </w:r>
      <w:r w:rsidRPr="00F332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32AE">
        <w:rPr>
          <w:rFonts w:ascii="Times New Roman" w:hAnsi="Times New Roman" w:cs="Times New Roman"/>
          <w:sz w:val="24"/>
          <w:szCs w:val="24"/>
        </w:rPr>
        <w:t>by protons and alpha-particles with average energies (E</w:t>
      </w:r>
      <w:r w:rsidR="00604BC5" w:rsidRPr="00F332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32AE">
        <w:rPr>
          <w:rFonts w:ascii="Times New Roman" w:hAnsi="Times New Roman" w:cs="Times New Roman"/>
          <w:sz w:val="24"/>
          <w:szCs w:val="24"/>
        </w:rPr>
        <w:t>=</w:t>
      </w:r>
      <w:r w:rsidR="00604BC5" w:rsidRPr="00F332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32AE">
        <w:rPr>
          <w:rFonts w:ascii="Times New Roman" w:hAnsi="Times New Roman" w:cs="Times New Roman"/>
          <w:sz w:val="24"/>
          <w:szCs w:val="24"/>
        </w:rPr>
        <w:t>10</w:t>
      </w:r>
      <w:r w:rsidR="00604BC5" w:rsidRPr="00F332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32AE">
        <w:rPr>
          <w:rFonts w:ascii="Times New Roman" w:hAnsi="Times New Roman" w:cs="Times New Roman"/>
          <w:sz w:val="24"/>
          <w:szCs w:val="24"/>
        </w:rPr>
        <w:t>-</w:t>
      </w:r>
      <w:r w:rsidR="00604BC5" w:rsidRPr="00F332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32AE">
        <w:rPr>
          <w:rFonts w:ascii="Times New Roman" w:hAnsi="Times New Roman" w:cs="Times New Roman"/>
          <w:sz w:val="24"/>
          <w:szCs w:val="24"/>
        </w:rPr>
        <w:t>50 MeV)</w:t>
      </w:r>
      <w:r w:rsidRPr="00F332AE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292558" w:rsidRPr="00F332AE">
        <w:rPr>
          <w:rFonts w:ascii="Times New Roman" w:hAnsi="Times New Roman" w:cs="Times New Roman" w:hint="eastAsia"/>
          <w:sz w:val="24"/>
          <w:szCs w:val="24"/>
        </w:rPr>
        <w:t>Moscow, 1991. EXFOR A0510</w:t>
      </w:r>
      <w:r w:rsidRPr="00F332AE">
        <w:rPr>
          <w:rFonts w:ascii="Times New Roman" w:hAnsi="Times New Roman" w:cs="Times New Roman" w:hint="eastAsia"/>
          <w:sz w:val="24"/>
          <w:szCs w:val="24"/>
        </w:rPr>
        <w:t>.</w:t>
      </w:r>
    </w:p>
    <w:p w:rsidR="00CF5262" w:rsidRPr="004157B0" w:rsidRDefault="00CF3181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4157B0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4157B0">
        <w:rPr>
          <w:rFonts w:ascii="Times New Roman" w:hAnsi="Times New Roman" w:cs="Times New Roman"/>
          <w:sz w:val="24"/>
          <w:szCs w:val="24"/>
        </w:rPr>
        <w:t>Schopper</w:t>
      </w:r>
      <w:proofErr w:type="spellEnd"/>
      <w:r w:rsidRPr="004157B0">
        <w:rPr>
          <w:rFonts w:ascii="Times New Roman" w:hAnsi="Times New Roman" w:cs="Times New Roman"/>
          <w:sz w:val="24"/>
          <w:szCs w:val="24"/>
        </w:rPr>
        <w:t xml:space="preserve"> (ed.), Production of Radionuclides at Intermediate Energies, </w:t>
      </w:r>
      <w:proofErr w:type="spellStart"/>
      <w:r w:rsidRPr="004157B0">
        <w:rPr>
          <w:rFonts w:ascii="Times New Roman" w:hAnsi="Times New Roman" w:cs="Times New Roman"/>
          <w:sz w:val="24"/>
          <w:szCs w:val="24"/>
        </w:rPr>
        <w:t>Landolt-</w:t>
      </w:r>
      <w:r w:rsidR="00604BC5" w:rsidRPr="004157B0">
        <w:rPr>
          <w:rFonts w:ascii="Times New Roman" w:hAnsi="Times New Roman" w:cs="Times New Roman"/>
          <w:sz w:val="24"/>
          <w:szCs w:val="24"/>
        </w:rPr>
        <w:t>Börnstein</w:t>
      </w:r>
      <w:proofErr w:type="spellEnd"/>
      <w:r w:rsidRPr="004157B0">
        <w:rPr>
          <w:rFonts w:ascii="Times New Roman" w:hAnsi="Times New Roman" w:cs="Times New Roman"/>
          <w:sz w:val="24"/>
          <w:szCs w:val="24"/>
        </w:rPr>
        <w:t xml:space="preserve"> New Series, Group I, Vol. 13</w:t>
      </w:r>
      <w:r w:rsidRPr="004157B0">
        <w:rPr>
          <w:rFonts w:ascii="Times New Roman" w:hAnsi="Times New Roman" w:cs="Times New Roman" w:hint="eastAsia"/>
          <w:sz w:val="24"/>
          <w:szCs w:val="24"/>
        </w:rPr>
        <w:t xml:space="preserve">, Springer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Verlag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>, 1991 - 1999.</w:t>
      </w:r>
    </w:p>
    <w:p w:rsidR="00CF5262" w:rsidRPr="004157B0" w:rsidRDefault="008B1E6C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4157B0">
        <w:rPr>
          <w:rFonts w:ascii="Times New Roman" w:hAnsi="Times New Roman" w:cs="Times New Roman" w:hint="eastAsia"/>
          <w:sz w:val="24"/>
          <w:szCs w:val="24"/>
        </w:rPr>
        <w:t xml:space="preserve">N.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Burtebayev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>, private communication, 2013.</w:t>
      </w:r>
    </w:p>
    <w:p w:rsidR="00F449AB" w:rsidRPr="004157B0" w:rsidRDefault="00F449AB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4157B0">
        <w:rPr>
          <w:rFonts w:ascii="Times New Roman" w:hAnsi="Times New Roman" w:cs="Times New Roman" w:hint="eastAsia"/>
          <w:sz w:val="24"/>
          <w:szCs w:val="24"/>
        </w:rPr>
        <w:t xml:space="preserve">N.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Otuka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B6436B">
        <w:rPr>
          <w:rFonts w:ascii="Times New Roman" w:hAnsi="Times New Roman" w:cs="Times New Roman" w:hint="eastAsia"/>
          <w:sz w:val="24"/>
          <w:szCs w:val="24"/>
        </w:rPr>
        <w:t>NRDF Annual Report No.15, p.12, 2001 (in Japanese).</w:t>
      </w:r>
    </w:p>
    <w:p w:rsidR="00F449AB" w:rsidRPr="004157B0" w:rsidRDefault="00F449AB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4157B0">
        <w:rPr>
          <w:rFonts w:ascii="Times New Roman" w:hAnsi="Times New Roman" w:cs="Times New Roman" w:hint="eastAsia"/>
          <w:sz w:val="24"/>
          <w:szCs w:val="24"/>
        </w:rPr>
        <w:t>R. Suzuki,</w:t>
      </w:r>
      <w:r w:rsidR="00B6436B">
        <w:rPr>
          <w:rFonts w:ascii="Times New Roman" w:hAnsi="Times New Roman" w:cs="Times New Roman" w:hint="eastAsia"/>
          <w:sz w:val="24"/>
          <w:szCs w:val="24"/>
        </w:rPr>
        <w:t xml:space="preserve"> Report </w:t>
      </w:r>
      <w:proofErr w:type="gramStart"/>
      <w:r w:rsidR="00B6436B">
        <w:rPr>
          <w:rFonts w:ascii="Times New Roman" w:hAnsi="Times New Roman" w:cs="Times New Roman" w:hint="eastAsia"/>
          <w:sz w:val="24"/>
          <w:szCs w:val="24"/>
        </w:rPr>
        <w:t>INDC(</w:t>
      </w:r>
      <w:proofErr w:type="gramEnd"/>
      <w:r w:rsidR="00B6436B">
        <w:rPr>
          <w:rFonts w:ascii="Times New Roman" w:hAnsi="Times New Roman" w:cs="Times New Roman" w:hint="eastAsia"/>
          <w:sz w:val="24"/>
          <w:szCs w:val="24"/>
        </w:rPr>
        <w:t>NDS)-629, p.19, 2013.</w:t>
      </w:r>
    </w:p>
    <w:p w:rsidR="004157B0" w:rsidRDefault="004C5951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4157B0">
        <w:rPr>
          <w:rFonts w:ascii="Times New Roman" w:hAnsi="Times New Roman" w:cs="Times New Roman" w:hint="eastAsia"/>
          <w:sz w:val="24"/>
          <w:szCs w:val="24"/>
        </w:rPr>
        <w:t xml:space="preserve">V.T.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Gladun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G.P.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Chursin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Izv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KazSSR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 A.N.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Ser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Fis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>.-Mat. 1980 No.4 (1980) 82.</w:t>
      </w:r>
      <w:r w:rsidR="00712472">
        <w:rPr>
          <w:rFonts w:ascii="Times New Roman" w:hAnsi="Times New Roman" w:cs="Times New Roman" w:hint="eastAsia"/>
          <w:sz w:val="24"/>
          <w:szCs w:val="24"/>
        </w:rPr>
        <w:t xml:space="preserve"> EXFOR D0723</w:t>
      </w:r>
      <w:r w:rsidR="001369E2" w:rsidRPr="004157B0">
        <w:rPr>
          <w:rFonts w:ascii="Times New Roman" w:hAnsi="Times New Roman" w:cs="Times New Roman" w:hint="eastAsia"/>
          <w:sz w:val="24"/>
          <w:szCs w:val="24"/>
        </w:rPr>
        <w:t>.</w:t>
      </w:r>
    </w:p>
    <w:p w:rsidR="004157B0" w:rsidRDefault="00F55E23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4157B0">
        <w:rPr>
          <w:rFonts w:ascii="Times New Roman" w:hAnsi="Times New Roman" w:cs="Times New Roman" w:hint="eastAsia"/>
          <w:sz w:val="24"/>
          <w:szCs w:val="24"/>
        </w:rPr>
        <w:t xml:space="preserve">I.N.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Naustov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S.T.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Tinomirova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S.D.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Beizin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="001500EA" w:rsidRPr="004157B0">
        <w:rPr>
          <w:rFonts w:ascii="Times New Roman" w:hAnsi="Times New Roman" w:cs="Times New Roman" w:hint="eastAsia"/>
          <w:sz w:val="24"/>
          <w:szCs w:val="24"/>
        </w:rPr>
        <w:t>Izv</w:t>
      </w:r>
      <w:proofErr w:type="spellEnd"/>
      <w:r w:rsidR="001500EA" w:rsidRPr="004157B0">
        <w:rPr>
          <w:rFonts w:ascii="Times New Roman" w:hAnsi="Times New Roman" w:cs="Times New Roman" w:hint="eastAsia"/>
          <w:sz w:val="24"/>
          <w:szCs w:val="24"/>
        </w:rPr>
        <w:t xml:space="preserve">. A.N. </w:t>
      </w:r>
      <w:proofErr w:type="spellStart"/>
      <w:r w:rsidR="00273EBB">
        <w:rPr>
          <w:rFonts w:ascii="Times New Roman" w:hAnsi="Times New Roman" w:cs="Times New Roman" w:hint="eastAsia"/>
          <w:sz w:val="24"/>
          <w:szCs w:val="24"/>
        </w:rPr>
        <w:t>KazS</w:t>
      </w:r>
      <w:r w:rsidR="005D7AAA" w:rsidRPr="004157B0">
        <w:rPr>
          <w:rFonts w:ascii="Times New Roman" w:hAnsi="Times New Roman" w:cs="Times New Roman" w:hint="eastAsia"/>
          <w:sz w:val="24"/>
          <w:szCs w:val="24"/>
        </w:rPr>
        <w:t>SR</w:t>
      </w:r>
      <w:proofErr w:type="spellEnd"/>
      <w:r w:rsidR="005D7AAA" w:rsidRPr="004157B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1500EA" w:rsidRPr="004157B0">
        <w:rPr>
          <w:rFonts w:ascii="Times New Roman" w:hAnsi="Times New Roman" w:cs="Times New Roman" w:hint="eastAsia"/>
          <w:sz w:val="24"/>
          <w:szCs w:val="24"/>
        </w:rPr>
        <w:t>Ser</w:t>
      </w:r>
      <w:proofErr w:type="spellEnd"/>
      <w:r w:rsidR="001500EA" w:rsidRPr="004157B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1500EA" w:rsidRPr="004157B0">
        <w:rPr>
          <w:rFonts w:ascii="Times New Roman" w:hAnsi="Times New Roman" w:cs="Times New Roman" w:hint="eastAsia"/>
          <w:sz w:val="24"/>
          <w:szCs w:val="24"/>
        </w:rPr>
        <w:t>Fis</w:t>
      </w:r>
      <w:proofErr w:type="spellEnd"/>
      <w:r w:rsidR="001500EA" w:rsidRPr="004157B0">
        <w:rPr>
          <w:rFonts w:ascii="Times New Roman" w:hAnsi="Times New Roman" w:cs="Times New Roman" w:hint="eastAsia"/>
          <w:sz w:val="24"/>
          <w:szCs w:val="24"/>
        </w:rPr>
        <w:t>.-Mat. 1990 No.2 (1990) 3.</w:t>
      </w:r>
      <w:r w:rsidR="00712472">
        <w:rPr>
          <w:rFonts w:ascii="Times New Roman" w:hAnsi="Times New Roman" w:cs="Times New Roman" w:hint="eastAsia"/>
          <w:sz w:val="24"/>
          <w:szCs w:val="24"/>
        </w:rPr>
        <w:t xml:space="preserve"> EXFOR D0725</w:t>
      </w:r>
      <w:r w:rsidR="001500EA" w:rsidRPr="004157B0">
        <w:rPr>
          <w:rFonts w:ascii="Times New Roman" w:hAnsi="Times New Roman" w:cs="Times New Roman" w:hint="eastAsia"/>
          <w:sz w:val="24"/>
          <w:szCs w:val="24"/>
        </w:rPr>
        <w:t>.</w:t>
      </w:r>
    </w:p>
    <w:p w:rsidR="008B1E6C" w:rsidRPr="004157B0" w:rsidRDefault="00863B68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A. </w:t>
      </w:r>
      <w:proofErr w:type="spellStart"/>
      <w:r w:rsidR="00F55E23" w:rsidRPr="004157B0">
        <w:rPr>
          <w:rFonts w:ascii="Times New Roman" w:hAnsi="Times New Roman" w:cs="Times New Roman" w:hint="eastAsia"/>
          <w:sz w:val="24"/>
          <w:szCs w:val="24"/>
        </w:rPr>
        <w:t>Vasidov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 xml:space="preserve">, G. </w:t>
      </w:r>
      <w:proofErr w:type="spellStart"/>
      <w:r w:rsidR="00F55E23" w:rsidRPr="004157B0">
        <w:rPr>
          <w:rFonts w:ascii="Times New Roman" w:hAnsi="Times New Roman" w:cs="Times New Roman" w:hint="eastAsia"/>
          <w:sz w:val="24"/>
          <w:szCs w:val="24"/>
        </w:rPr>
        <w:t>Vakilova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 xml:space="preserve">, S. </w:t>
      </w:r>
      <w:proofErr w:type="spellStart"/>
      <w:r w:rsidR="00F55E23" w:rsidRPr="004157B0">
        <w:rPr>
          <w:rFonts w:ascii="Times New Roman" w:hAnsi="Times New Roman" w:cs="Times New Roman" w:hint="eastAsia"/>
          <w:sz w:val="24"/>
          <w:szCs w:val="24"/>
        </w:rPr>
        <w:t>Mu</w:t>
      </w:r>
      <w:r w:rsidR="00604BC5" w:rsidRPr="004157B0">
        <w:rPr>
          <w:rFonts w:ascii="Times New Roman" w:hAnsi="Times New Roman" w:cs="Times New Roman" w:hint="eastAsia"/>
          <w:sz w:val="24"/>
          <w:szCs w:val="24"/>
        </w:rPr>
        <w:t>k</w:t>
      </w:r>
      <w:r w:rsidR="00F55E23" w:rsidRPr="004157B0">
        <w:rPr>
          <w:rFonts w:ascii="Times New Roman" w:hAnsi="Times New Roman" w:cs="Times New Roman" w:hint="eastAsia"/>
          <w:sz w:val="24"/>
          <w:szCs w:val="24"/>
        </w:rPr>
        <w:t>hammedov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="00F55E23" w:rsidRPr="004157B0">
        <w:rPr>
          <w:rFonts w:ascii="Times New Roman" w:hAnsi="Times New Roman" w:cs="Times New Roman" w:hint="eastAsia"/>
          <w:sz w:val="24"/>
          <w:szCs w:val="24"/>
        </w:rPr>
        <w:t>Izv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 xml:space="preserve">. A.N. </w:t>
      </w:r>
      <w:proofErr w:type="spellStart"/>
      <w:r w:rsidR="00273EBB">
        <w:rPr>
          <w:rFonts w:ascii="Times New Roman" w:hAnsi="Times New Roman" w:cs="Times New Roman" w:hint="eastAsia"/>
          <w:sz w:val="24"/>
          <w:szCs w:val="24"/>
        </w:rPr>
        <w:t>UzS</w:t>
      </w:r>
      <w:r w:rsidR="005D7AAA" w:rsidRPr="004157B0">
        <w:rPr>
          <w:rFonts w:ascii="Times New Roman" w:hAnsi="Times New Roman" w:cs="Times New Roman" w:hint="eastAsia"/>
          <w:sz w:val="24"/>
          <w:szCs w:val="24"/>
        </w:rPr>
        <w:t>SR</w:t>
      </w:r>
      <w:proofErr w:type="spellEnd"/>
      <w:r w:rsidR="005D7AAA" w:rsidRPr="004157B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F55E23" w:rsidRPr="004157B0">
        <w:rPr>
          <w:rFonts w:ascii="Times New Roman" w:hAnsi="Times New Roman" w:cs="Times New Roman" w:hint="eastAsia"/>
          <w:sz w:val="24"/>
          <w:szCs w:val="24"/>
        </w:rPr>
        <w:t>Ser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F55E23" w:rsidRPr="004157B0">
        <w:rPr>
          <w:rFonts w:ascii="Times New Roman" w:hAnsi="Times New Roman" w:cs="Times New Roman" w:hint="eastAsia"/>
          <w:sz w:val="24"/>
          <w:szCs w:val="24"/>
        </w:rPr>
        <w:t>Fis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>.-Mat. 1981 No.3 (1981) 93.</w:t>
      </w:r>
      <w:r w:rsidR="00292558" w:rsidRPr="004157B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55E23" w:rsidRPr="004157B0">
        <w:rPr>
          <w:rFonts w:ascii="Times New Roman" w:hAnsi="Times New Roman" w:cs="Times New Roman" w:hint="eastAsia"/>
          <w:sz w:val="24"/>
          <w:szCs w:val="24"/>
        </w:rPr>
        <w:t>EXFOR D0726.</w:t>
      </w:r>
    </w:p>
    <w:p w:rsidR="00F55E23" w:rsidRPr="004157B0" w:rsidRDefault="00604BC5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4157B0">
        <w:rPr>
          <w:rFonts w:ascii="Times New Roman" w:hAnsi="Times New Roman" w:cs="Times New Roman" w:hint="eastAsia"/>
          <w:sz w:val="24"/>
          <w:szCs w:val="24"/>
        </w:rPr>
        <w:t xml:space="preserve">S.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Mukhammedov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E.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Parday</w:t>
      </w:r>
      <w:r w:rsidR="00F55E23" w:rsidRPr="004157B0">
        <w:rPr>
          <w:rFonts w:ascii="Times New Roman" w:hAnsi="Times New Roman" w:cs="Times New Roman" w:hint="eastAsia"/>
          <w:sz w:val="24"/>
          <w:szCs w:val="24"/>
        </w:rPr>
        <w:t>ev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="00F55E23" w:rsidRPr="004157B0">
        <w:rPr>
          <w:rFonts w:ascii="Times New Roman" w:hAnsi="Times New Roman" w:cs="Times New Roman" w:hint="eastAsia"/>
          <w:sz w:val="24"/>
          <w:szCs w:val="24"/>
        </w:rPr>
        <w:t>Izv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 xml:space="preserve">. A.N. </w:t>
      </w:r>
      <w:proofErr w:type="spellStart"/>
      <w:r w:rsidR="005D7AAA" w:rsidRPr="004157B0">
        <w:rPr>
          <w:rFonts w:ascii="Times New Roman" w:hAnsi="Times New Roman" w:cs="Times New Roman" w:hint="eastAsia"/>
          <w:sz w:val="24"/>
          <w:szCs w:val="24"/>
        </w:rPr>
        <w:t>UzSSR</w:t>
      </w:r>
      <w:proofErr w:type="spellEnd"/>
      <w:r w:rsidR="005D7AAA" w:rsidRPr="004157B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F55E23" w:rsidRPr="004157B0">
        <w:rPr>
          <w:rFonts w:ascii="Times New Roman" w:hAnsi="Times New Roman" w:cs="Times New Roman" w:hint="eastAsia"/>
          <w:sz w:val="24"/>
          <w:szCs w:val="24"/>
        </w:rPr>
        <w:t>Ser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F55E23" w:rsidRPr="004157B0">
        <w:rPr>
          <w:rFonts w:ascii="Times New Roman" w:hAnsi="Times New Roman" w:cs="Times New Roman" w:hint="eastAsia"/>
          <w:sz w:val="24"/>
          <w:szCs w:val="24"/>
        </w:rPr>
        <w:t>Fis</w:t>
      </w:r>
      <w:proofErr w:type="spellEnd"/>
      <w:r w:rsidR="00F55E23" w:rsidRPr="004157B0">
        <w:rPr>
          <w:rFonts w:ascii="Times New Roman" w:hAnsi="Times New Roman" w:cs="Times New Roman" w:hint="eastAsia"/>
          <w:sz w:val="24"/>
          <w:szCs w:val="24"/>
        </w:rPr>
        <w:t>.-Mat. 1985 No.5 (1985) 81.</w:t>
      </w:r>
      <w:r w:rsidR="00292558" w:rsidRPr="004157B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55E23" w:rsidRPr="004157B0">
        <w:rPr>
          <w:rFonts w:ascii="Times New Roman" w:hAnsi="Times New Roman" w:cs="Times New Roman" w:hint="eastAsia"/>
          <w:sz w:val="24"/>
          <w:szCs w:val="24"/>
        </w:rPr>
        <w:t>EXFOR D0727.</w:t>
      </w:r>
    </w:p>
    <w:p w:rsidR="00F55E23" w:rsidRPr="004157B0" w:rsidRDefault="00292558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4157B0">
        <w:rPr>
          <w:rFonts w:ascii="Times New Roman" w:hAnsi="Times New Roman" w:cs="Times New Roman" w:hint="eastAsia"/>
          <w:sz w:val="24"/>
          <w:szCs w:val="24"/>
        </w:rPr>
        <w:t xml:space="preserve">V.V.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Dyachkov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A.V.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Yushkov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A.L.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Shakirov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Instrum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. Exp. Tech. </w:t>
      </w:r>
      <w:r w:rsidRPr="004157B0">
        <w:rPr>
          <w:rFonts w:ascii="Times New Roman" w:hAnsi="Times New Roman" w:cs="Times New Roman" w:hint="eastAsia"/>
          <w:b/>
          <w:sz w:val="24"/>
          <w:szCs w:val="24"/>
        </w:rPr>
        <w:t>56</w:t>
      </w:r>
      <w:r w:rsidR="00712472">
        <w:rPr>
          <w:rFonts w:ascii="Times New Roman" w:hAnsi="Times New Roman" w:cs="Times New Roman" w:hint="eastAsia"/>
          <w:sz w:val="24"/>
          <w:szCs w:val="24"/>
        </w:rPr>
        <w:t xml:space="preserve"> (2013) 521. EXFOR D0728.</w:t>
      </w:r>
    </w:p>
    <w:p w:rsidR="00F55E23" w:rsidRPr="004157B0" w:rsidRDefault="00292558" w:rsidP="004157B0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4157B0">
        <w:rPr>
          <w:rFonts w:ascii="Times New Roman" w:hAnsi="Times New Roman" w:cs="Times New Roman" w:hint="eastAsia"/>
          <w:sz w:val="24"/>
          <w:szCs w:val="24"/>
        </w:rPr>
        <w:t xml:space="preserve">Sh. Hamada, Y.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Hirabayashi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 xml:space="preserve">, N. </w:t>
      </w:r>
      <w:proofErr w:type="spellStart"/>
      <w:r w:rsidRPr="004157B0">
        <w:rPr>
          <w:rFonts w:ascii="Times New Roman" w:hAnsi="Times New Roman" w:cs="Times New Roman" w:hint="eastAsia"/>
          <w:sz w:val="24"/>
          <w:szCs w:val="24"/>
        </w:rPr>
        <w:t>Burtebayev</w:t>
      </w:r>
      <w:proofErr w:type="spellEnd"/>
      <w:r w:rsidRPr="004157B0">
        <w:rPr>
          <w:rFonts w:ascii="Times New Roman" w:hAnsi="Times New Roman" w:cs="Times New Roman" w:hint="eastAsia"/>
          <w:sz w:val="24"/>
          <w:szCs w:val="24"/>
        </w:rPr>
        <w:t>, S. Ohkubo, Phys. Rev. C</w:t>
      </w:r>
      <w:r w:rsidRPr="004157B0">
        <w:rPr>
          <w:rFonts w:ascii="Times New Roman" w:hAnsi="Times New Roman" w:cs="Times New Roman" w:hint="eastAsia"/>
          <w:b/>
          <w:sz w:val="24"/>
          <w:szCs w:val="24"/>
        </w:rPr>
        <w:t>87</w:t>
      </w:r>
      <w:r w:rsidRPr="004157B0">
        <w:rPr>
          <w:rFonts w:ascii="Times New Roman" w:hAnsi="Times New Roman" w:cs="Times New Roman" w:hint="eastAsia"/>
          <w:sz w:val="24"/>
          <w:szCs w:val="24"/>
        </w:rPr>
        <w:t xml:space="preserve"> (2013) 024311. EXFOR D0711.</w:t>
      </w:r>
    </w:p>
    <w:p w:rsidR="00B6436B" w:rsidRDefault="00B6436B" w:rsidP="00CB19A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B19A7" w:rsidRDefault="00CB19A7" w:rsidP="00CB19A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Appendix 1</w:t>
      </w:r>
    </w:p>
    <w:p w:rsidR="00A64D44" w:rsidRDefault="00D61BF8" w:rsidP="00D75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Nuclear reaction d</w:t>
      </w:r>
      <w:r w:rsidR="00E828C8" w:rsidRPr="00E828C8">
        <w:rPr>
          <w:rFonts w:ascii="Times New Roman" w:hAnsi="Times New Roman" w:cs="Times New Roman" w:hint="eastAsia"/>
          <w:sz w:val="24"/>
          <w:szCs w:val="24"/>
        </w:rPr>
        <w:t>ata measured in Kazakhstan and compiled in EXFOR</w:t>
      </w:r>
      <w:r w:rsidR="00D75AEA">
        <w:rPr>
          <w:rFonts w:ascii="Times New Roman" w:hAnsi="Times New Roman" w:cs="Times New Roman" w:hint="eastAsia"/>
          <w:sz w:val="24"/>
          <w:szCs w:val="24"/>
        </w:rPr>
        <w:t xml:space="preserve"> before this workshop</w:t>
      </w:r>
      <w:r w:rsidR="00CB19A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64D44">
        <w:rPr>
          <w:rFonts w:ascii="Times New Roman" w:hAnsi="Times New Roman" w:cs="Times New Roman" w:hint="eastAsia"/>
          <w:sz w:val="24"/>
          <w:szCs w:val="24"/>
        </w:rPr>
        <w:t>(Italicized EXFOR entry numbers indicate inclusion of data digitized from figures.)</w:t>
      </w:r>
    </w:p>
    <w:tbl>
      <w:tblPr>
        <w:tblW w:w="845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8"/>
        <w:gridCol w:w="1872"/>
        <w:gridCol w:w="639"/>
        <w:gridCol w:w="1669"/>
        <w:gridCol w:w="3375"/>
      </w:tblGrid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  <w:t xml:space="preserve">EXFOR 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  <w:t>1</w:t>
            </w:r>
            <w:r w:rsidRPr="00E828C8"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  <w:vertAlign w:val="superscript"/>
              </w:rPr>
              <w:t>st</w:t>
            </w:r>
            <w:r w:rsidRPr="00E828C8"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  <w:t xml:space="preserve"> Author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  <w:t xml:space="preserve">Year 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  <w:t xml:space="preserve">Lab.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kern w:val="0"/>
                <w:sz w:val="20"/>
                <w:szCs w:val="20"/>
              </w:rPr>
              <w:t xml:space="preserve">Quantity measured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40016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V.N.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Levkovskiy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1963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linac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?)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n,p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and (n,α) cross section at 14 MeV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40009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G.P.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Vinitskaya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1967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linac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n,p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and (n,α) cross section at 14 MeV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F1184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V.Yu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Gonchar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1967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α scattering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40223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V.N.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Levkovskiy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1968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(CCW)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n,p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and (n,α) cross section at 14 MeV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F0668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V.Yu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Gonchar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1968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Mg+α scattering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F1168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V.Yu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Gonchar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1968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Ni,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Pb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+α scattering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40226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V.N.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Levkovskiy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1969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VdG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?)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n,p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and (n,α) cross section at 14 MeV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A0647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O.A.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Zhukova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1970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(α,n) cross section excitation function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40029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V.N.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Levkovskiy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1971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VdG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?)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n,p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and (n,α) cross section at 14 MeV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40125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K.E.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Volodin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1972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249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Cf(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n,f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fragment kinetic energy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A0644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O.A.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Zhukova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1972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Co(α,x) cross section excitation function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A0695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B.G.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Kiselev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1974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93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Nb+p cross section excitation function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O0627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V.N.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Okolovich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1974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p,f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cross section excitation function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F0865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K.B.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Baktybaev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1975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Zn+α elastic scattering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F0868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N.T.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1975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Li(α,p)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Be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F1145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A.D.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Duisebaev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1975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27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Al,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59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Co(α,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t+x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double diff. cross section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F0672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N.N. Pavlova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1976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α elastic scattering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F1142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A.D.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Duisebaev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1977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Al, Co, Sn(3He,α) energy spectrum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F1160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N.N. Pavlova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1977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Fe+α elastic scattering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F0670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N.N. Pavlova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1979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α elastic scattering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41321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O.I.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Artem’ev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1980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VdG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n,p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and (n,α) cross section at 14 MeV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F0940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N.T.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1982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He,cp+x) double diff. cross section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40698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E.Z.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Akhmetov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1983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Cold neutron total cross sections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F0570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N.T.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1984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cyclotorn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(α,p) double differential cross section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40904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G.A.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Dostemesova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1985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Ge gamma spectrum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40905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1985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Ge gamma spectrum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lastRenderedPageBreak/>
              <w:t>40939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G.A.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Dostemesova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1986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78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Se(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78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Ge gamma spectrum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40941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L.V.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Chekushina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1986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80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Se(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80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Se gamma spectrum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F0777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V.N.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Gragin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1986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α scattering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O1277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N.I.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Zaika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1988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He,f)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41043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1989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Ni(</w:t>
            </w:r>
            <w:proofErr w:type="spellStart"/>
            <w:proofErr w:type="gram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)Ni gamma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41146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Dostemesova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1989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Se(</w:t>
            </w:r>
            <w:proofErr w:type="spellStart"/>
            <w:proofErr w:type="gram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)Se gamma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dist.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F0497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S.Ya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Aisina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1989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α scattering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41106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1990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Ge gamma spectrum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A0510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V.N.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Levkovskiy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1991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p-, α- cross section excitation function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41136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1992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52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Cr(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52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Cr gamma spectra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41140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1993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48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Ti(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48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Ti gamma spectra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41176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1994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46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Ti(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46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Ti gamma spectra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41408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1998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82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Se(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82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Se gamma spectra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41411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1999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80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Se(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80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Se gamma spectra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41412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2000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65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Cu(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65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Cu gamma spectra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F0775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2000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cycloron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C+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 elastic scattering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dist.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O1145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A.M.Blechman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2000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197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Au(</w:t>
            </w:r>
            <w:proofErr w:type="gram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α,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He+x)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doub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diff. cross section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41413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2001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65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Cu(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65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Cu gamma spectra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F0560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K.A.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Kuterbekov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2001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120,124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Sn+α scattering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F0561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A.D.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Duisebaev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2001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90,94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Zr+α scattering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41486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2002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Ge gamma spectra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F0758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2002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B(</w:t>
            </w:r>
            <w:proofErr w:type="gram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α,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He), 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11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B(d,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He)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F0759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2002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9Be+α elastic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F0766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M.K.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Baktybaev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2003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28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Si+α total reaction cross section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F0767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2003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C(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He,t)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O1060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Duisebayev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2003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90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Zr(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p,p,d+x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double diff. cross section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A0851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V.Yu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Ugryumov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2004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28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Si+α total reaction cross section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F0763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N.T.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2004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VdG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15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O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41451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Kosyak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2005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n,n’+γ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74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Ge gamma spectra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F0772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2005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11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B+α scattering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O1307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Duisebayev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2005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56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Fe(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p,p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,α+x) double diff. cross section 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A0819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2008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A0867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Burtebaev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2010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6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Li+d elastic scat. angular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A0886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Sh. Hamada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2011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Astana 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lastRenderedPageBreak/>
              <w:t xml:space="preserve">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lastRenderedPageBreak/>
              <w:t>12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C+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16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O elastic scat.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lastRenderedPageBreak/>
              <w:t>A0899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S.V.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Artemov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2011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10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B(</w:t>
            </w:r>
            <w:proofErr w:type="spellStart"/>
            <w:proofErr w:type="gram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d,t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 and (d,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He)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A0907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S.B.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Dubovichenko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2011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(Tandem)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6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Li+p elastic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ang.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distribution </w:t>
            </w:r>
          </w:p>
        </w:tc>
      </w:tr>
      <w:tr w:rsidR="00E828C8" w:rsidRPr="00E828C8" w:rsidTr="006D249C">
        <w:trPr>
          <w:trHeight w:val="30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F1189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V.V.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Dyachkov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2012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Mg,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C+d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elastic angular distribution </w:t>
            </w:r>
          </w:p>
        </w:tc>
      </w:tr>
    </w:tbl>
    <w:p w:rsidR="00CA717E" w:rsidRDefault="00CA717E" w:rsidP="00CA717E">
      <w:pPr>
        <w:rPr>
          <w:rFonts w:ascii="Times New Roman" w:hAnsi="Times New Roman" w:cs="Times New Roman"/>
        </w:rPr>
      </w:pPr>
    </w:p>
    <w:p w:rsidR="00A64D44" w:rsidRDefault="00CB19A7" w:rsidP="00CB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Appendix 2</w:t>
      </w:r>
      <w:r w:rsidR="00D61BF8" w:rsidRPr="00E828C8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D61BF8">
        <w:rPr>
          <w:rFonts w:ascii="Times New Roman" w:hAnsi="Times New Roman" w:cs="Times New Roman" w:hint="eastAsia"/>
          <w:sz w:val="24"/>
          <w:szCs w:val="24"/>
        </w:rPr>
        <w:t>Nuclear reaction d</w:t>
      </w:r>
      <w:r w:rsidR="00D61BF8" w:rsidRPr="00E828C8">
        <w:rPr>
          <w:rFonts w:ascii="Times New Roman" w:hAnsi="Times New Roman" w:cs="Times New Roman" w:hint="eastAsia"/>
          <w:sz w:val="24"/>
          <w:szCs w:val="24"/>
        </w:rPr>
        <w:t xml:space="preserve">ata measured in </w:t>
      </w:r>
      <w:r w:rsidR="001C5D27">
        <w:rPr>
          <w:rFonts w:ascii="Times New Roman" w:hAnsi="Times New Roman" w:cs="Times New Roman"/>
          <w:sz w:val="24"/>
          <w:szCs w:val="24"/>
        </w:rPr>
        <w:t xml:space="preserve">Uzbekistan </w:t>
      </w:r>
      <w:r w:rsidR="00D61BF8" w:rsidRPr="00E828C8">
        <w:rPr>
          <w:rFonts w:ascii="Times New Roman" w:hAnsi="Times New Roman" w:cs="Times New Roman" w:hint="eastAsia"/>
          <w:sz w:val="24"/>
          <w:szCs w:val="24"/>
        </w:rPr>
        <w:t>and compiled in EXFOR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75AEA">
        <w:rPr>
          <w:rFonts w:ascii="Times New Roman" w:hAnsi="Times New Roman" w:cs="Times New Roman" w:hint="eastAsia"/>
          <w:sz w:val="24"/>
          <w:szCs w:val="24"/>
        </w:rPr>
        <w:t xml:space="preserve">before this workshop </w:t>
      </w:r>
      <w:r w:rsidR="00A64D44">
        <w:rPr>
          <w:rFonts w:ascii="Times New Roman" w:hAnsi="Times New Roman" w:cs="Times New Roman" w:hint="eastAsia"/>
          <w:sz w:val="24"/>
          <w:szCs w:val="24"/>
        </w:rPr>
        <w:t>(Italicized EXFOR entry numbers indicate inclusion of data digitized from figures.)</w:t>
      </w:r>
    </w:p>
    <w:tbl>
      <w:tblPr>
        <w:tblW w:w="852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842"/>
        <w:gridCol w:w="709"/>
        <w:gridCol w:w="1559"/>
        <w:gridCol w:w="3402"/>
      </w:tblGrid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E828C8" w:rsidRPr="00E828C8" w:rsidRDefault="00E828C8" w:rsidP="002544BB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EXFOR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E828C8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st</w:t>
            </w:r>
            <w:r w:rsidRPr="00E828C8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Author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Year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Lab.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Quantity measured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A1482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U.R.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Arifkhanov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1974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A1127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S.A.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Azimov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1975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40541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Arynov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1977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gamma spectra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A1194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M.P.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Gold’berg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1978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p,p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)np DDX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F1140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S.V.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Artemov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1978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Mg+p scattering excitation function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A0075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L.Ya</w:t>
            </w:r>
            <w:proofErr w:type="spellEnd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Arifov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1980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92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Mo(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isomeric ratio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A0085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A.V.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Muminov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1980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thick target isotope yield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A0104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L.Ya</w:t>
            </w:r>
            <w:proofErr w:type="spellEnd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Arifov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1981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92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Mo(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isomeric ratio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F0892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S.V.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Artemov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1981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27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Al+p scattering excitation function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A0211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Vakilova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1983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thick target isotope yield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A0212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D61BF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Mukhammedov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1984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p,x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d,x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thick target isotope yield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F1181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R.B.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Begzhanov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1985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cyclotorn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p,d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A0331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Mukhammedov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1986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d,x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thick target isotope yield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F0403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F.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Kadirov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1987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F1171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G.S.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Valiev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1987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p,d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A1301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M.A.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Kayumov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1988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 and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F0222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S.A.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Goncharov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1988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d,t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41047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A.D.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Belyaev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1989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241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Pu(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n,f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fission yields FY(A,E)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A0621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R.B.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Begyanov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1990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66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Zn(α,n)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68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Ge excitation function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F0071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I.R.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Gulamov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1990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d,t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F0821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S.V.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Artemov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1996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He,d)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M0749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S.R.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Palvanov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1998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NUU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betatron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89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Y(γ,2n)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87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Y isomeric ratio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M0766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S.R.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Palvanov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1999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NUU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betatron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γ,n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γ,p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isomeric ratio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F0698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S.V.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Artemov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2000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He,d)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lastRenderedPageBreak/>
              <w:t>F0780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S.V.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Artemov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2001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12,13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C+α scat. angular distribution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41465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V.P.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Pikul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2005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235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U(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n,f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fission yields FY(A,E) 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41493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Yu.N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Koblik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2006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(reactor)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239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Pu(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n,f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Fission yields FY(A,E)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M0743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S.R.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Palvanov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2007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NUU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betatron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142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Nd(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γ,n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141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Nd isomeric ratio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41563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S.R.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Palvanov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2011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INP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VdG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?)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(n,2n) and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γ,n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isomeric ratio </w:t>
            </w: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i/>
                <w:iCs/>
                <w:kern w:val="0"/>
                <w:sz w:val="20"/>
                <w:szCs w:val="20"/>
              </w:rPr>
              <w:t>M0812</w:t>
            </w:r>
          </w:p>
        </w:tc>
        <w:tc>
          <w:tcPr>
            <w:tcW w:w="1842" w:type="dxa"/>
            <w:vMerge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NUU 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betatron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vMerge/>
            <w:vAlign w:val="center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E828C8" w:rsidRPr="00E828C8" w:rsidTr="00D61BF8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A0945</w:t>
            </w:r>
          </w:p>
        </w:tc>
        <w:tc>
          <w:tcPr>
            <w:tcW w:w="184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S.V. 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Artemov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2012</w:t>
            </w:r>
          </w:p>
        </w:tc>
        <w:tc>
          <w:tcPr>
            <w:tcW w:w="1559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INP (cyclotron) </w:t>
            </w:r>
          </w:p>
        </w:tc>
        <w:tc>
          <w:tcPr>
            <w:tcW w:w="3402" w:type="dxa"/>
            <w:shd w:val="clear" w:color="auto" w:fill="auto"/>
            <w:hideMark/>
          </w:tcPr>
          <w:p w:rsidR="00E828C8" w:rsidRPr="00E828C8" w:rsidRDefault="00E828C8" w:rsidP="00E828C8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14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N(</w:t>
            </w:r>
            <w:proofErr w:type="spellStart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p,γ</w:t>
            </w:r>
            <w:proofErr w:type="spellEnd"/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)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  <w:vertAlign w:val="superscript"/>
              </w:rPr>
              <w:t>15</w:t>
            </w:r>
            <w:r w:rsidRPr="00E828C8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O angular distribution </w:t>
            </w:r>
          </w:p>
        </w:tc>
      </w:tr>
    </w:tbl>
    <w:p w:rsidR="00E828C8" w:rsidRPr="00E828C8" w:rsidRDefault="00E828C8" w:rsidP="00CA717E">
      <w:pPr>
        <w:rPr>
          <w:rFonts w:ascii="Times New Roman" w:hAnsi="Times New Roman" w:cs="Times New Roman"/>
        </w:rPr>
      </w:pPr>
    </w:p>
    <w:sectPr w:rsidR="00E828C8" w:rsidRPr="00E828C8" w:rsidSect="00D04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BD" w:rsidRDefault="009F66BD" w:rsidP="00430B14">
      <w:r>
        <w:separator/>
      </w:r>
    </w:p>
  </w:endnote>
  <w:endnote w:type="continuationSeparator" w:id="0">
    <w:p w:rsidR="009F66BD" w:rsidRDefault="009F66BD" w:rsidP="0043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BD" w:rsidRDefault="009F66BD" w:rsidP="00430B14">
      <w:r>
        <w:separator/>
      </w:r>
    </w:p>
  </w:footnote>
  <w:footnote w:type="continuationSeparator" w:id="0">
    <w:p w:rsidR="009F66BD" w:rsidRDefault="009F66BD" w:rsidP="0043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63FF"/>
    <w:multiLevelType w:val="hybridMultilevel"/>
    <w:tmpl w:val="8B604D9C"/>
    <w:lvl w:ilvl="0" w:tplc="2826B7F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CD7C888E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38046C"/>
    <w:multiLevelType w:val="hybridMultilevel"/>
    <w:tmpl w:val="97E2677E"/>
    <w:lvl w:ilvl="0" w:tplc="2826B7F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7E"/>
    <w:rsid w:val="00095345"/>
    <w:rsid w:val="000B4607"/>
    <w:rsid w:val="000E3AA8"/>
    <w:rsid w:val="00112FC1"/>
    <w:rsid w:val="001329BC"/>
    <w:rsid w:val="001369E2"/>
    <w:rsid w:val="001500EA"/>
    <w:rsid w:val="001C5D27"/>
    <w:rsid w:val="0021513C"/>
    <w:rsid w:val="002544BB"/>
    <w:rsid w:val="00270909"/>
    <w:rsid w:val="00273EBB"/>
    <w:rsid w:val="00292558"/>
    <w:rsid w:val="002F3535"/>
    <w:rsid w:val="002F4108"/>
    <w:rsid w:val="003113AB"/>
    <w:rsid w:val="003557AF"/>
    <w:rsid w:val="00396100"/>
    <w:rsid w:val="004157B0"/>
    <w:rsid w:val="00430B14"/>
    <w:rsid w:val="004C5951"/>
    <w:rsid w:val="00507E07"/>
    <w:rsid w:val="00531968"/>
    <w:rsid w:val="00566CA9"/>
    <w:rsid w:val="005D7AAA"/>
    <w:rsid w:val="00604BC5"/>
    <w:rsid w:val="00630389"/>
    <w:rsid w:val="00696DD4"/>
    <w:rsid w:val="006D249C"/>
    <w:rsid w:val="00712472"/>
    <w:rsid w:val="007267C5"/>
    <w:rsid w:val="007A69A6"/>
    <w:rsid w:val="00863B68"/>
    <w:rsid w:val="008B1E6C"/>
    <w:rsid w:val="008D64BC"/>
    <w:rsid w:val="00903E78"/>
    <w:rsid w:val="009F66BD"/>
    <w:rsid w:val="00A15B5E"/>
    <w:rsid w:val="00A64D44"/>
    <w:rsid w:val="00B27598"/>
    <w:rsid w:val="00B6436B"/>
    <w:rsid w:val="00B77BF8"/>
    <w:rsid w:val="00C26747"/>
    <w:rsid w:val="00C31ACC"/>
    <w:rsid w:val="00C5667E"/>
    <w:rsid w:val="00CA717E"/>
    <w:rsid w:val="00CB19A7"/>
    <w:rsid w:val="00CB4BA2"/>
    <w:rsid w:val="00CF3181"/>
    <w:rsid w:val="00CF5262"/>
    <w:rsid w:val="00D046E2"/>
    <w:rsid w:val="00D61BF8"/>
    <w:rsid w:val="00D75AEA"/>
    <w:rsid w:val="00DE5557"/>
    <w:rsid w:val="00E40BF7"/>
    <w:rsid w:val="00E734CC"/>
    <w:rsid w:val="00E828C8"/>
    <w:rsid w:val="00EA7210"/>
    <w:rsid w:val="00F332AE"/>
    <w:rsid w:val="00F449AB"/>
    <w:rsid w:val="00F55E23"/>
    <w:rsid w:val="00F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E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89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30B1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B14"/>
  </w:style>
  <w:style w:type="paragraph" w:styleId="Footer">
    <w:name w:val="footer"/>
    <w:basedOn w:val="Normal"/>
    <w:link w:val="FooterChar"/>
    <w:uiPriority w:val="99"/>
    <w:semiHidden/>
    <w:unhideWhenUsed/>
    <w:rsid w:val="00430B1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B14"/>
  </w:style>
  <w:style w:type="paragraph" w:styleId="ListParagraph">
    <w:name w:val="List Paragraph"/>
    <w:basedOn w:val="Normal"/>
    <w:uiPriority w:val="34"/>
    <w:qFormat/>
    <w:rsid w:val="00F332AE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0E3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A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E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89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30B1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B14"/>
  </w:style>
  <w:style w:type="paragraph" w:styleId="Footer">
    <w:name w:val="footer"/>
    <w:basedOn w:val="Normal"/>
    <w:link w:val="FooterChar"/>
    <w:uiPriority w:val="99"/>
    <w:semiHidden/>
    <w:unhideWhenUsed/>
    <w:rsid w:val="00430B1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B14"/>
  </w:style>
  <w:style w:type="paragraph" w:styleId="ListParagraph">
    <w:name w:val="List Paragraph"/>
    <w:basedOn w:val="Normal"/>
    <w:uiPriority w:val="34"/>
    <w:qFormat/>
    <w:rsid w:val="00F332AE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0E3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A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Kazakhstan\EXFOR-KazUz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060294390396083"/>
          <c:y val="8.2903553464485649E-2"/>
          <c:w val="0.80513389686844061"/>
          <c:h val="0.67704524469067784"/>
        </c:manualLayout>
      </c:layout>
      <c:lineChart>
        <c:grouping val="standard"/>
        <c:varyColors val="0"/>
        <c:ser>
          <c:idx val="0"/>
          <c:order val="0"/>
          <c:tx>
            <c:v>Kaz: charged-particle</c:v>
          </c:tx>
          <c:marker>
            <c:symbol val="none"/>
          </c:marker>
          <c:cat>
            <c:numRef>
              <c:f>Sheet1!$A$2:$A$53</c:f>
              <c:numCache>
                <c:formatCode>General</c:formatCode>
                <c:ptCount val="52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</c:numCache>
            </c:numRef>
          </c:cat>
          <c:val>
            <c:numRef>
              <c:f>Sheet1!$F$2:$F$53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7</c:v>
                </c:pt>
                <c:pt idx="14">
                  <c:v>10</c:v>
                </c:pt>
                <c:pt idx="15">
                  <c:v>11</c:v>
                </c:pt>
                <c:pt idx="16">
                  <c:v>13</c:v>
                </c:pt>
                <c:pt idx="17">
                  <c:v>13</c:v>
                </c:pt>
                <c:pt idx="18">
                  <c:v>14</c:v>
                </c:pt>
                <c:pt idx="19">
                  <c:v>14</c:v>
                </c:pt>
                <c:pt idx="20">
                  <c:v>14</c:v>
                </c:pt>
                <c:pt idx="21">
                  <c:v>15</c:v>
                </c:pt>
                <c:pt idx="22">
                  <c:v>15</c:v>
                </c:pt>
                <c:pt idx="23">
                  <c:v>16</c:v>
                </c:pt>
                <c:pt idx="24">
                  <c:v>16</c:v>
                </c:pt>
                <c:pt idx="25">
                  <c:v>17</c:v>
                </c:pt>
                <c:pt idx="26">
                  <c:v>17</c:v>
                </c:pt>
                <c:pt idx="27">
                  <c:v>18</c:v>
                </c:pt>
                <c:pt idx="28">
                  <c:v>19</c:v>
                </c:pt>
                <c:pt idx="29">
                  <c:v>20</c:v>
                </c:pt>
                <c:pt idx="30">
                  <c:v>21</c:v>
                </c:pt>
                <c:pt idx="31">
                  <c:v>21</c:v>
                </c:pt>
                <c:pt idx="32">
                  <c:v>21</c:v>
                </c:pt>
                <c:pt idx="33">
                  <c:v>21</c:v>
                </c:pt>
                <c:pt idx="34">
                  <c:v>21</c:v>
                </c:pt>
                <c:pt idx="35">
                  <c:v>21</c:v>
                </c:pt>
                <c:pt idx="36">
                  <c:v>21</c:v>
                </c:pt>
                <c:pt idx="37">
                  <c:v>21</c:v>
                </c:pt>
                <c:pt idx="38">
                  <c:v>21</c:v>
                </c:pt>
                <c:pt idx="39">
                  <c:v>23</c:v>
                </c:pt>
                <c:pt idx="40">
                  <c:v>25</c:v>
                </c:pt>
                <c:pt idx="41">
                  <c:v>27</c:v>
                </c:pt>
                <c:pt idx="42">
                  <c:v>30</c:v>
                </c:pt>
                <c:pt idx="43">
                  <c:v>32</c:v>
                </c:pt>
                <c:pt idx="44">
                  <c:v>35</c:v>
                </c:pt>
                <c:pt idx="45">
                  <c:v>35</c:v>
                </c:pt>
                <c:pt idx="46">
                  <c:v>35</c:v>
                </c:pt>
                <c:pt idx="47">
                  <c:v>36</c:v>
                </c:pt>
                <c:pt idx="48">
                  <c:v>36</c:v>
                </c:pt>
                <c:pt idx="49">
                  <c:v>37</c:v>
                </c:pt>
                <c:pt idx="50">
                  <c:v>40</c:v>
                </c:pt>
                <c:pt idx="51">
                  <c:v>41</c:v>
                </c:pt>
              </c:numCache>
            </c:numRef>
          </c:val>
          <c:smooth val="0"/>
        </c:ser>
        <c:ser>
          <c:idx val="1"/>
          <c:order val="1"/>
          <c:tx>
            <c:v>Kaz: neutron</c:v>
          </c:tx>
          <c:marker>
            <c:symbol val="none"/>
          </c:marker>
          <c:cat>
            <c:numRef>
              <c:f>Sheet1!$A$2:$A$53</c:f>
              <c:numCache>
                <c:formatCode>General</c:formatCode>
                <c:ptCount val="52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</c:numCache>
            </c:numRef>
          </c:cat>
          <c:val>
            <c:numRef>
              <c:f>Sheet1!$G$2:$G$53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6</c:v>
                </c:pt>
                <c:pt idx="19">
                  <c:v>7</c:v>
                </c:pt>
                <c:pt idx="20">
                  <c:v>7</c:v>
                </c:pt>
                <c:pt idx="21">
                  <c:v>7</c:v>
                </c:pt>
                <c:pt idx="22">
                  <c:v>8</c:v>
                </c:pt>
                <c:pt idx="23">
                  <c:v>8</c:v>
                </c:pt>
                <c:pt idx="24">
                  <c:v>10</c:v>
                </c:pt>
                <c:pt idx="25">
                  <c:v>12</c:v>
                </c:pt>
                <c:pt idx="26">
                  <c:v>12</c:v>
                </c:pt>
                <c:pt idx="27">
                  <c:v>12</c:v>
                </c:pt>
                <c:pt idx="28">
                  <c:v>14</c:v>
                </c:pt>
                <c:pt idx="29">
                  <c:v>15</c:v>
                </c:pt>
                <c:pt idx="30">
                  <c:v>15</c:v>
                </c:pt>
                <c:pt idx="31">
                  <c:v>16</c:v>
                </c:pt>
                <c:pt idx="32">
                  <c:v>17</c:v>
                </c:pt>
                <c:pt idx="33">
                  <c:v>18</c:v>
                </c:pt>
                <c:pt idx="34">
                  <c:v>18</c:v>
                </c:pt>
                <c:pt idx="35">
                  <c:v>18</c:v>
                </c:pt>
                <c:pt idx="36">
                  <c:v>18</c:v>
                </c:pt>
                <c:pt idx="37">
                  <c:v>19</c:v>
                </c:pt>
                <c:pt idx="38">
                  <c:v>20</c:v>
                </c:pt>
                <c:pt idx="39">
                  <c:v>21</c:v>
                </c:pt>
                <c:pt idx="40">
                  <c:v>22</c:v>
                </c:pt>
                <c:pt idx="41">
                  <c:v>23</c:v>
                </c:pt>
                <c:pt idx="42">
                  <c:v>23</c:v>
                </c:pt>
                <c:pt idx="43">
                  <c:v>23</c:v>
                </c:pt>
                <c:pt idx="44">
                  <c:v>23</c:v>
                </c:pt>
                <c:pt idx="45">
                  <c:v>23</c:v>
                </c:pt>
                <c:pt idx="46">
                  <c:v>23</c:v>
                </c:pt>
                <c:pt idx="47">
                  <c:v>23</c:v>
                </c:pt>
                <c:pt idx="48">
                  <c:v>23</c:v>
                </c:pt>
                <c:pt idx="49">
                  <c:v>23</c:v>
                </c:pt>
                <c:pt idx="50">
                  <c:v>23</c:v>
                </c:pt>
                <c:pt idx="51">
                  <c:v>23</c:v>
                </c:pt>
              </c:numCache>
            </c:numRef>
          </c:val>
          <c:smooth val="0"/>
        </c:ser>
        <c:ser>
          <c:idx val="2"/>
          <c:order val="2"/>
          <c:tx>
            <c:v>Uz: charged-particle</c:v>
          </c:tx>
          <c:marker>
            <c:symbol val="none"/>
          </c:marker>
          <c:cat>
            <c:numRef>
              <c:f>Sheet1!$A$2:$A$53</c:f>
              <c:numCache>
                <c:formatCode>General</c:formatCode>
                <c:ptCount val="52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</c:numCache>
            </c:numRef>
          </c:cat>
          <c:val>
            <c:numRef>
              <c:f>Sheet1!$H$2:$H$53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4</c:v>
                </c:pt>
                <c:pt idx="18">
                  <c:v>4</c:v>
                </c:pt>
                <c:pt idx="19">
                  <c:v>6</c:v>
                </c:pt>
                <c:pt idx="20">
                  <c:v>8</c:v>
                </c:pt>
                <c:pt idx="21">
                  <c:v>8</c:v>
                </c:pt>
                <c:pt idx="22">
                  <c:v>9</c:v>
                </c:pt>
                <c:pt idx="23">
                  <c:v>10</c:v>
                </c:pt>
                <c:pt idx="24">
                  <c:v>11</c:v>
                </c:pt>
                <c:pt idx="25">
                  <c:v>12</c:v>
                </c:pt>
                <c:pt idx="26">
                  <c:v>14</c:v>
                </c:pt>
                <c:pt idx="27">
                  <c:v>16</c:v>
                </c:pt>
                <c:pt idx="28">
                  <c:v>16</c:v>
                </c:pt>
                <c:pt idx="29">
                  <c:v>18</c:v>
                </c:pt>
                <c:pt idx="30">
                  <c:v>18</c:v>
                </c:pt>
                <c:pt idx="31">
                  <c:v>18</c:v>
                </c:pt>
                <c:pt idx="32">
                  <c:v>18</c:v>
                </c:pt>
                <c:pt idx="33">
                  <c:v>18</c:v>
                </c:pt>
                <c:pt idx="34">
                  <c:v>18</c:v>
                </c:pt>
                <c:pt idx="35">
                  <c:v>19</c:v>
                </c:pt>
                <c:pt idx="36">
                  <c:v>19</c:v>
                </c:pt>
                <c:pt idx="37">
                  <c:v>19</c:v>
                </c:pt>
                <c:pt idx="38">
                  <c:v>19</c:v>
                </c:pt>
                <c:pt idx="39">
                  <c:v>20</c:v>
                </c:pt>
                <c:pt idx="40">
                  <c:v>21</c:v>
                </c:pt>
                <c:pt idx="41">
                  <c:v>21</c:v>
                </c:pt>
                <c:pt idx="42">
                  <c:v>21</c:v>
                </c:pt>
                <c:pt idx="43">
                  <c:v>21</c:v>
                </c:pt>
                <c:pt idx="44">
                  <c:v>21</c:v>
                </c:pt>
                <c:pt idx="45">
                  <c:v>21</c:v>
                </c:pt>
                <c:pt idx="46">
                  <c:v>21</c:v>
                </c:pt>
                <c:pt idx="47">
                  <c:v>21</c:v>
                </c:pt>
                <c:pt idx="48">
                  <c:v>21</c:v>
                </c:pt>
                <c:pt idx="49">
                  <c:v>21</c:v>
                </c:pt>
                <c:pt idx="50">
                  <c:v>21</c:v>
                </c:pt>
                <c:pt idx="51">
                  <c:v>22</c:v>
                </c:pt>
              </c:numCache>
            </c:numRef>
          </c:val>
          <c:smooth val="0"/>
        </c:ser>
        <c:ser>
          <c:idx val="3"/>
          <c:order val="3"/>
          <c:tx>
            <c:v>Uz: neutron</c:v>
          </c:tx>
          <c:marker>
            <c:symbol val="none"/>
          </c:marker>
          <c:cat>
            <c:numRef>
              <c:f>Sheet1!$A$2:$A$53</c:f>
              <c:numCache>
                <c:formatCode>General</c:formatCode>
                <c:ptCount val="52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</c:numCache>
            </c:numRef>
          </c:cat>
          <c:val>
            <c:numRef>
              <c:f>Sheet1!$I$2:$I$53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2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  <c:pt idx="34">
                  <c:v>2</c:v>
                </c:pt>
                <c:pt idx="35">
                  <c:v>2</c:v>
                </c:pt>
                <c:pt idx="36">
                  <c:v>2</c:v>
                </c:pt>
                <c:pt idx="37">
                  <c:v>2</c:v>
                </c:pt>
                <c:pt idx="38">
                  <c:v>2</c:v>
                </c:pt>
                <c:pt idx="39">
                  <c:v>2</c:v>
                </c:pt>
                <c:pt idx="40">
                  <c:v>2</c:v>
                </c:pt>
                <c:pt idx="41">
                  <c:v>2</c:v>
                </c:pt>
                <c:pt idx="42">
                  <c:v>2</c:v>
                </c:pt>
                <c:pt idx="43">
                  <c:v>2</c:v>
                </c:pt>
                <c:pt idx="44">
                  <c:v>3</c:v>
                </c:pt>
                <c:pt idx="45">
                  <c:v>4</c:v>
                </c:pt>
                <c:pt idx="46">
                  <c:v>4</c:v>
                </c:pt>
                <c:pt idx="47">
                  <c:v>4</c:v>
                </c:pt>
                <c:pt idx="48">
                  <c:v>4</c:v>
                </c:pt>
                <c:pt idx="49">
                  <c:v>4</c:v>
                </c:pt>
                <c:pt idx="50">
                  <c:v>5</c:v>
                </c:pt>
                <c:pt idx="51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657472"/>
        <c:axId val="171690624"/>
      </c:lineChart>
      <c:catAx>
        <c:axId val="171657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ja-JP"/>
                </a:pPr>
                <a:r>
                  <a:rPr lang="en-US" altLang="ja-JP"/>
                  <a:t>Year</a:t>
                </a:r>
                <a:r>
                  <a:rPr lang="en-US" altLang="ja-JP" baseline="0"/>
                  <a:t> of publication</a:t>
                </a:r>
                <a:endParaRPr lang="ja-JP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ja-JP"/>
            </a:pPr>
            <a:endParaRPr lang="en-US"/>
          </a:p>
        </c:txPr>
        <c:crossAx val="171690624"/>
        <c:crosses val="autoZero"/>
        <c:auto val="1"/>
        <c:lblAlgn val="ctr"/>
        <c:lblOffset val="100"/>
        <c:noMultiLvlLbl val="0"/>
      </c:catAx>
      <c:valAx>
        <c:axId val="1716906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lang="ja-JP"/>
                </a:pPr>
                <a:r>
                  <a:rPr lang="en-US" altLang="ja-JP">
                    <a:latin typeface="+mn-lt"/>
                  </a:rPr>
                  <a:t>Number</a:t>
                </a:r>
                <a:r>
                  <a:rPr lang="en-US" altLang="ja-JP" baseline="0">
                    <a:latin typeface="+mn-lt"/>
                  </a:rPr>
                  <a:t> of EXFOR entries</a:t>
                </a:r>
                <a:endParaRPr lang="ja-JP" altLang="en-US">
                  <a:latin typeface="+mn-lt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ja-JP"/>
            </a:pPr>
            <a:endParaRPr lang="en-US"/>
          </a:p>
        </c:txPr>
        <c:crossAx val="1716574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0.77231</cdr:x>
      <cdr:y>0.14991</cdr:y>
    </cdr:from>
    <cdr:to>
      <cdr:x>0.87986</cdr:x>
      <cdr:y>0.23302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3435385" y="461197"/>
          <a:ext cx="478401" cy="2556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altLang="ja-JP" sz="1100"/>
            <a:t>Kaz cp</a:t>
          </a:r>
          <a:endParaRPr lang="ja-JP" altLang="en-US" sz="1100"/>
        </a:p>
      </cdr:txBody>
    </cdr:sp>
  </cdr:relSizeAnchor>
  <cdr:relSizeAnchor xmlns:cdr="http://schemas.openxmlformats.org/drawingml/2006/chartDrawing">
    <cdr:from>
      <cdr:x>0.82423</cdr:x>
      <cdr:y>0.31872</cdr:y>
    </cdr:from>
    <cdr:to>
      <cdr:x>0.93178</cdr:x>
      <cdr:y>0.40182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3666314" y="980573"/>
          <a:ext cx="478401" cy="2556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altLang="ja-JP" sz="1100"/>
            <a:t>Kaz n</a:t>
          </a:r>
          <a:endParaRPr lang="ja-JP" altLang="en-US" sz="1100"/>
        </a:p>
      </cdr:txBody>
    </cdr:sp>
  </cdr:relSizeAnchor>
  <cdr:relSizeAnchor xmlns:cdr="http://schemas.openxmlformats.org/drawingml/2006/chartDrawing">
    <cdr:from>
      <cdr:x>0.81266</cdr:x>
      <cdr:y>0.46521</cdr:y>
    </cdr:from>
    <cdr:to>
      <cdr:x>0.9202</cdr:x>
      <cdr:y>0.54832</cdr:y>
    </cdr:to>
    <cdr:sp macro="" textlink="">
      <cdr:nvSpPr>
        <cdr:cNvPr id="4" name="テキスト ボックス 1"/>
        <cdr:cNvSpPr txBox="1"/>
      </cdr:nvSpPr>
      <cdr:spPr>
        <a:xfrm xmlns:a="http://schemas.openxmlformats.org/drawingml/2006/main">
          <a:off x="3614842" y="1431242"/>
          <a:ext cx="478357" cy="2556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altLang="ja-JP" sz="1100"/>
            <a:t>Uz</a:t>
          </a:r>
          <a:r>
            <a:rPr lang="en-US" altLang="ja-JP" sz="1100" baseline="0"/>
            <a:t> cp</a:t>
          </a:r>
          <a:endParaRPr lang="ja-JP" altLang="en-US" sz="1100"/>
        </a:p>
      </cdr:txBody>
    </cdr:sp>
  </cdr:relSizeAnchor>
  <cdr:relSizeAnchor xmlns:cdr="http://schemas.openxmlformats.org/drawingml/2006/chartDrawing">
    <cdr:from>
      <cdr:x>0.85283</cdr:x>
      <cdr:y>0.68698</cdr:y>
    </cdr:from>
    <cdr:to>
      <cdr:x>0.96038</cdr:x>
      <cdr:y>0.77008</cdr:y>
    </cdr:to>
    <cdr:sp macro="" textlink="">
      <cdr:nvSpPr>
        <cdr:cNvPr id="5" name="テキスト ボックス 1"/>
        <cdr:cNvSpPr txBox="1"/>
      </cdr:nvSpPr>
      <cdr:spPr>
        <a:xfrm xmlns:a="http://schemas.openxmlformats.org/drawingml/2006/main">
          <a:off x="4305300" y="2362200"/>
          <a:ext cx="542926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altLang="ja-JP" sz="1100"/>
            <a:t>Uz</a:t>
          </a:r>
          <a:r>
            <a:rPr lang="en-US" altLang="ja-JP" sz="1100" baseline="0"/>
            <a:t>  n</a:t>
          </a:r>
          <a:endParaRPr lang="ja-JP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2081</Words>
  <Characters>11867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IAEA</Company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Naohiko Otsuka</dc:creator>
  <cp:lastModifiedBy>OTSUKA, Naohiko</cp:lastModifiedBy>
  <cp:revision>2</cp:revision>
  <dcterms:created xsi:type="dcterms:W3CDTF">2017-06-20T10:38:00Z</dcterms:created>
  <dcterms:modified xsi:type="dcterms:W3CDTF">2017-06-20T10:38:00Z</dcterms:modified>
</cp:coreProperties>
</file>